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Pr="00385DF2" w:rsidRDefault="00385DF2" w:rsidP="00897A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bookmarkStart w:id="0" w:name="_GoBack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Este acueducto abastecerá de agua potable a la comunidad de Caballero mediante un sistema de  Gravedad, su fuente de abastecimiento la constituyen las aguas superficiales de del río Majagual, a través de un filtro en el lecho del mismo. Sus principales componentes son Obra de Toma, Línea de Aducción en tubería de 6" acero y </w:t>
      </w:r>
      <w:proofErr w:type="spellStart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pvc</w:t>
      </w:r>
      <w:proofErr w:type="spellEnd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con una longitud de 3,638.84 ml, Depósito Regulador con capacidad de 100 m3, Línea Matriz en tubería de 6" </w:t>
      </w:r>
      <w:proofErr w:type="spellStart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pvc</w:t>
      </w:r>
      <w:proofErr w:type="spellEnd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con una longitud de 122 ml, Redes de Distribución en tuberías de 4", 3" y 2" </w:t>
      </w:r>
      <w:proofErr w:type="spellStart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pvc</w:t>
      </w:r>
      <w:proofErr w:type="spellEnd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(L=6,185.40 ml), caseta de cloro y </w:t>
      </w:r>
      <w:proofErr w:type="spellStart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clorador</w:t>
      </w:r>
      <w:proofErr w:type="spellEnd"/>
      <w:r w:rsidRPr="00385DF2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y  203 Acometidas domiciliarias.</w:t>
      </w:r>
      <w:bookmarkEnd w:id="0"/>
    </w:p>
    <w:sectPr w:rsidR="00897ACB" w:rsidRPr="00385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85DF2"/>
    <w:rsid w:val="003C1338"/>
    <w:rsid w:val="004269F7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2019-07-08T15:52:00Z</dcterms:modified>
</cp:coreProperties>
</file>