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Pr="00715073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bookmarkStart w:id="0" w:name="_GoBack"/>
    </w:p>
    <w:p w:rsidR="00715073" w:rsidRPr="00715073" w:rsidRDefault="00715073" w:rsidP="007150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715073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La rehabilitación del acueducto se está realizando a través de la rehabilitación del depósito regulador de </w:t>
      </w:r>
      <w:proofErr w:type="spellStart"/>
      <w:r w:rsidRPr="00715073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Fantino</w:t>
      </w:r>
      <w:proofErr w:type="spellEnd"/>
      <w:r w:rsidRPr="00715073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el cual tiene cuenta con  una capacidad de 1,000,000 de galones, el agua utilizada para el almacenamiento proviene de la planta de tratamiento de agua potable del municipio de </w:t>
      </w:r>
      <w:proofErr w:type="spellStart"/>
      <w:r w:rsidRPr="00715073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Fantino</w:t>
      </w:r>
      <w:proofErr w:type="spellEnd"/>
      <w:r w:rsidRPr="00715073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, para luego ser distribuida  a la población de este municipio.</w:t>
      </w:r>
    </w:p>
    <w:bookmarkEnd w:id="0"/>
    <w:p w:rsidR="00897ACB" w:rsidRDefault="00897ACB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sectPr w:rsidR="00897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715073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2019-07-09T16:46:00Z</dcterms:modified>
</cp:coreProperties>
</file>