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62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494DC9" w:rsidTr="00494DC9">
        <w:trPr>
          <w:trHeight w:val="241"/>
        </w:trPr>
        <w:tc>
          <w:tcPr>
            <w:tcW w:w="1940" w:type="dxa"/>
            <w:vMerge w:val="restart"/>
          </w:tcPr>
          <w:p w:rsidR="00494DC9" w:rsidRDefault="00494DC9" w:rsidP="00494DC9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494DC9" w:rsidRDefault="00494DC9" w:rsidP="00494DC9">
            <w:pPr>
              <w:pStyle w:val="TableParagraph"/>
              <w:ind w:left="8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EED11FF" wp14:editId="17D868C9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494DC9" w:rsidRDefault="00494DC9" w:rsidP="00494DC9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494DC9" w:rsidRDefault="00494DC9" w:rsidP="00494DC9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MATRIZ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IDENTIFICACIÓN,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VALORACIÓN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Y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ASIGNACIÓN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RIESGOS</w:t>
            </w: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494DC9" w:rsidTr="00494DC9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494DC9" w:rsidTr="00494DC9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494DC9" w:rsidRDefault="00494DC9" w:rsidP="00494DC9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494DC9" w:rsidRDefault="00494DC9" w:rsidP="00494DC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2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7" w:type="dxa"/>
          </w:tcPr>
          <w:p w:rsidR="00494DC9" w:rsidRDefault="00494DC9" w:rsidP="00494DC9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494DC9" w:rsidRDefault="00494DC9" w:rsidP="00494DC9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>
        <w:trPr>
          <w:trHeight w:val="68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6"/>
              </w:rPr>
            </w:pPr>
            <w:bookmarkStart w:id="0" w:name="_GoBack" w:colFirst="1" w:colLast="1"/>
            <w:r>
              <w:rPr>
                <w:rFonts w:ascii="Arial" w:hAnsi="Arial"/>
                <w:b/>
                <w:sz w:val="6"/>
              </w:rPr>
              <w:t>NÚMERO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REFERENCIA</w:t>
            </w:r>
          </w:p>
        </w:tc>
        <w:tc>
          <w:tcPr>
            <w:tcW w:w="15115" w:type="dxa"/>
            <w:vMerge w:val="restart"/>
          </w:tcPr>
          <w:p w:rsidR="00607A24" w:rsidRPr="00C743A1" w:rsidRDefault="00BC0196" w:rsidP="00C743A1">
            <w:pPr>
              <w:pStyle w:val="TableParagraph"/>
              <w:spacing w:before="35"/>
              <w:ind w:left="12"/>
              <w:rPr>
                <w:rFonts w:ascii="Arial Narrow" w:hAnsi="Arial Narrow"/>
                <w:sz w:val="16"/>
                <w:szCs w:val="16"/>
              </w:rPr>
            </w:pPr>
            <w:r w:rsidRPr="00C743A1">
              <w:rPr>
                <w:rFonts w:ascii="Arial Narrow" w:hAnsi="Arial Narrow"/>
                <w:color w:val="525252"/>
                <w:sz w:val="14"/>
                <w:szCs w:val="16"/>
              </w:rPr>
              <w:t>INAPA-CCC-LPN-2025-00</w:t>
            </w:r>
            <w:r w:rsidR="002E462D" w:rsidRPr="00C743A1">
              <w:rPr>
                <w:rFonts w:ascii="Arial Narrow" w:hAnsi="Arial Narrow"/>
                <w:color w:val="525252"/>
                <w:sz w:val="14"/>
                <w:szCs w:val="16"/>
              </w:rPr>
              <w:t>4</w:t>
            </w:r>
            <w:r w:rsidR="00C743A1" w:rsidRPr="00C743A1">
              <w:rPr>
                <w:rFonts w:ascii="Arial Narrow" w:hAnsi="Arial Narrow"/>
                <w:color w:val="525252"/>
                <w:sz w:val="14"/>
                <w:szCs w:val="16"/>
              </w:rPr>
              <w:t>9</w:t>
            </w:r>
            <w:r w:rsidR="003C6391" w:rsidRPr="00C743A1">
              <w:rPr>
                <w:rFonts w:ascii="Arial Narrow" w:hAnsi="Arial Narrow"/>
                <w:color w:val="525252"/>
                <w:sz w:val="14"/>
                <w:szCs w:val="16"/>
              </w:rPr>
              <w:t xml:space="preserve"> - </w:t>
            </w:r>
            <w:r w:rsidR="00C743A1" w:rsidRPr="00C743A1">
              <w:rPr>
                <w:rFonts w:ascii="Arial Narrow" w:hAnsi="Arial Narrow"/>
              </w:rPr>
              <w:t>“ADQUISICIÓN DE BOMBAS Y COMPRESORES INDUSTRIALES PARA EL FUNCIONAMIENTO DE LOS ACUEDUCTOS DEL INAPA, SEGÚN LO PLANIFICADO POR EL PROGRAMA DE MODERNIZACIÓN SECTOR APS</w:t>
            </w:r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ANEXO</w:t>
            </w:r>
            <w:r>
              <w:rPr>
                <w:rFonts w:ascii="Arial" w:hAnsi="Arial"/>
                <w:b/>
                <w:spacing w:val="3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5"/>
              </w:rPr>
              <w:t>NÚM.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4">
        <w:trPr>
          <w:trHeight w:val="68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C743A1" w:rsidRDefault="00607A24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10"/>
                <w:sz w:val="5"/>
              </w:rPr>
              <w:t>FECHA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bookmarkEnd w:id="0"/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610"/>
        <w:gridCol w:w="754"/>
        <w:gridCol w:w="1230"/>
        <w:gridCol w:w="500"/>
        <w:gridCol w:w="667"/>
        <w:gridCol w:w="305"/>
        <w:gridCol w:w="451"/>
        <w:gridCol w:w="697"/>
        <w:gridCol w:w="635"/>
        <w:gridCol w:w="714"/>
        <w:gridCol w:w="709"/>
        <w:gridCol w:w="709"/>
        <w:gridCol w:w="1039"/>
        <w:gridCol w:w="1016"/>
        <w:gridCol w:w="831"/>
        <w:gridCol w:w="796"/>
      </w:tblGrid>
      <w:tr w:rsidR="00607A24" w:rsidRPr="00E923B1">
        <w:trPr>
          <w:trHeight w:val="210"/>
        </w:trPr>
        <w:tc>
          <w:tcPr>
            <w:tcW w:w="19496" w:type="dxa"/>
            <w:gridSpan w:val="28"/>
            <w:shd w:val="clear" w:color="auto" w:fill="3A3737"/>
          </w:tcPr>
          <w:p w:rsidR="00607A24" w:rsidRPr="00E923B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MATRIZ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GESTIÓN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</w:tr>
      <w:tr w:rsidR="00607A24" w:rsidRPr="00E923B1" w:rsidTr="00494DC9">
        <w:trPr>
          <w:trHeight w:val="148"/>
        </w:trPr>
        <w:tc>
          <w:tcPr>
            <w:tcW w:w="5044" w:type="dxa"/>
            <w:gridSpan w:val="7"/>
            <w:shd w:val="clear" w:color="auto" w:fill="375623"/>
          </w:tcPr>
          <w:p w:rsidR="00607A24" w:rsidRPr="00E923B1" w:rsidRDefault="004718F0">
            <w:pPr>
              <w:pStyle w:val="TableParagraph"/>
              <w:spacing w:before="68" w:line="60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IDENTIFICACIÓN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10770" w:type="dxa"/>
            <w:gridSpan w:val="17"/>
            <w:shd w:val="clear" w:color="auto" w:fill="BE8F00"/>
          </w:tcPr>
          <w:p w:rsidR="00607A24" w:rsidRPr="00E923B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3682" w:type="dxa"/>
            <w:gridSpan w:val="4"/>
            <w:shd w:val="clear" w:color="auto" w:fill="1D4E78"/>
          </w:tcPr>
          <w:p w:rsidR="00607A24" w:rsidRPr="00E923B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CONTROL</w:t>
            </w:r>
          </w:p>
        </w:tc>
      </w:tr>
      <w:tr w:rsidR="00607A24" w:rsidRPr="00E923B1" w:rsidTr="00494DC9">
        <w:trPr>
          <w:trHeight w:val="209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1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75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494DC9" w:rsidRPr="00E923B1" w:rsidRDefault="00494DC9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23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255" w:type="dxa"/>
            <w:gridSpan w:val="6"/>
            <w:shd w:val="clear" w:color="auto" w:fill="3A3737"/>
          </w:tcPr>
          <w:p w:rsidR="00494DC9" w:rsidRDefault="00494DC9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71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70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70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3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494DC9" w:rsidRDefault="00494DC9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494DC9" w:rsidRPr="00E923B1" w:rsidTr="00494DC9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67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 w:rsidTr="00494DC9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 w:rsidTr="00494DC9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61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75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23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0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70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3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 w:rsidP="00494DC9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2E462D"/>
    <w:rsid w:val="003C6391"/>
    <w:rsid w:val="004718F0"/>
    <w:rsid w:val="00494DC9"/>
    <w:rsid w:val="00607A24"/>
    <w:rsid w:val="009D4869"/>
    <w:rsid w:val="00BC0196"/>
    <w:rsid w:val="00C743A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2811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Erika Josefina Marmolejos Diez</dc:creator>
  <cp:lastModifiedBy>Jorge Rolando Reyes Tejada</cp:lastModifiedBy>
  <cp:revision>7</cp:revision>
  <dcterms:created xsi:type="dcterms:W3CDTF">2025-05-22T18:46:00Z</dcterms:created>
  <dcterms:modified xsi:type="dcterms:W3CDTF">2025-12-08T15:28:00Z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