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EF113D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-00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06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0B2DF0">
            <w:pPr>
              <w:rPr>
                <w:b/>
              </w:rPr>
            </w:pPr>
            <w:bookmarkStart w:id="0" w:name="_GoBack"/>
          </w:p>
          <w:p w:rsidR="00607A24" w:rsidRPr="000B2DF0" w:rsidRDefault="000B2DF0" w:rsidP="000B2DF0">
            <w:pPr>
              <w:tabs>
                <w:tab w:val="left" w:pos="915"/>
              </w:tabs>
            </w:pPr>
            <w:r w:rsidRPr="000B2DF0">
              <w:rPr>
                <w:b/>
              </w:rPr>
              <w:t>ADQUISICIÓN DE CONSUMIBLES PARA EL TRATAMIENTO DE AGUA, PARA SER UTILIZADOS EN TODOS LOS ACUEDUCTOS DEL INAPA.</w:t>
            </w:r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050A75"/>
    <w:rsid w:val="000B2DF0"/>
    <w:rsid w:val="00430411"/>
    <w:rsid w:val="004718F0"/>
    <w:rsid w:val="004A0908"/>
    <w:rsid w:val="00607A24"/>
    <w:rsid w:val="007C6DAA"/>
    <w:rsid w:val="00810331"/>
    <w:rsid w:val="008E0D29"/>
    <w:rsid w:val="00AB7B0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56FD9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15</cp:revision>
  <cp:lastPrinted>2025-12-09T17:19:00Z</cp:lastPrinted>
  <dcterms:created xsi:type="dcterms:W3CDTF">2025-05-15T14:55:00Z</dcterms:created>
  <dcterms:modified xsi:type="dcterms:W3CDTF">2026-04-01T13:35:00Z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