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5BE77918" w:rsidR="00FD74A0" w:rsidRDefault="00465CCF" w:rsidP="00FD74A0">
      <w:pPr>
        <w:pStyle w:val="TDC1"/>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06A4F">
        <w:t xml:space="preserve">LA </w:t>
      </w:r>
      <w:r w:rsidR="00F06A4F" w:rsidRPr="00F06A4F">
        <w:t>ADQUISICION DE TUBOS Y TUBERIAS PARA LOS TRABAJOS DE REPARACION DE AVERIAS Y MANTENIMIENTO EN TODOS LOS SISTEMAS DE ACUEDUCTOS Y ALCANTARILLADOS DEL INAPA</w:t>
      </w:r>
    </w:p>
    <w:p w14:paraId="5A1D66F5" w14:textId="77777777" w:rsidR="00C8710D" w:rsidRPr="00C8710D" w:rsidRDefault="00C8710D" w:rsidP="00C8710D">
      <w:pPr>
        <w:rPr>
          <w:lang w:val="es-ES_tradnl" w:eastAsia="es-DO"/>
        </w:rPr>
      </w:pPr>
    </w:p>
    <w:p w14:paraId="2E4369BF" w14:textId="08FF9564"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400C36" w:rsidRPr="00F8166C">
        <w:t>INAPA-CCC-</w:t>
      </w:r>
      <w:r w:rsidR="00FD74A0">
        <w:t>LPN-202</w:t>
      </w:r>
      <w:r w:rsidR="00216A80">
        <w:t>6</w:t>
      </w:r>
      <w:r w:rsidR="00FD74A0">
        <w:t>-00</w:t>
      </w:r>
      <w:r w:rsidR="00F06A4F">
        <w:t>13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xml:space="preserve">, establecen los diferentes procedimientos de selección de proveedores a ser utilizados por los entes y órganos de la </w:t>
      </w:r>
      <w:r w:rsidRPr="004D177F">
        <w:rPr>
          <w:sz w:val="22"/>
          <w:szCs w:val="22"/>
        </w:rPr>
        <w:lastRenderedPageBreak/>
        <w:t>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27DF8EAC" w:rsidR="00465CCF" w:rsidRPr="004D177F" w:rsidRDefault="00FD74A0" w:rsidP="0094067F">
      <w:pPr>
        <w:jc w:val="both"/>
        <w:rPr>
          <w:b/>
          <w:bCs/>
          <w:sz w:val="22"/>
          <w:szCs w:val="22"/>
        </w:rPr>
      </w:pPr>
      <w:r w:rsidRPr="00FD74A0">
        <w:rPr>
          <w:b/>
        </w:rPr>
        <w:t>“</w:t>
      </w:r>
      <w:r w:rsidR="00267BFE" w:rsidRPr="00267BFE">
        <w:rPr>
          <w:b/>
        </w:rPr>
        <w:t>ADQUISICION DE TUBOS Y TUBERIAS PARA LOS TRABAJOS DE REPARACION DE AVERIAS Y MANTENIMIENTO EN TODOS LOS SISTEMAS DE ACUEDUCTOS Y ALCANTARILLADOS DEL INAPA</w:t>
      </w:r>
      <w:r w:rsidR="009246BD" w:rsidRPr="009246BD">
        <w:rPr>
          <w:b/>
        </w:rPr>
        <w:t>.</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C0ABE5B"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8"/>
        <w:gridCol w:w="4487"/>
        <w:gridCol w:w="1868"/>
        <w:gridCol w:w="2003"/>
      </w:tblGrid>
      <w:tr w:rsidR="000B530C" w:rsidRPr="00E50B75" w14:paraId="713DCBEC" w14:textId="77777777" w:rsidTr="00980736">
        <w:trPr>
          <w:trHeight w:val="255"/>
        </w:trPr>
        <w:tc>
          <w:tcPr>
            <w:tcW w:w="355" w:type="pct"/>
            <w:shd w:val="clear" w:color="auto" w:fill="45B0E1" w:themeFill="accent1" w:themeFillTint="99"/>
            <w:hideMark/>
          </w:tcPr>
          <w:p w14:paraId="2BAF72FC" w14:textId="77777777" w:rsidR="000B530C" w:rsidRPr="00E50B75" w:rsidRDefault="000B530C" w:rsidP="00980736">
            <w:pPr>
              <w:spacing w:line="276" w:lineRule="auto"/>
              <w:rPr>
                <w:rFonts w:ascii="Arial Narrow" w:hAnsi="Arial Narrow" w:cs="Arial"/>
                <w:b/>
                <w:bCs/>
                <w:color w:val="000000"/>
                <w:sz w:val="20"/>
                <w:szCs w:val="20"/>
                <w:lang w:eastAsia="en-US"/>
              </w:rPr>
            </w:pPr>
            <w:r w:rsidRPr="00E50B75">
              <w:rPr>
                <w:rFonts w:ascii="Arial Narrow" w:hAnsi="Arial Narrow" w:cs="Arial"/>
                <w:b/>
                <w:bCs/>
                <w:color w:val="000000"/>
                <w:sz w:val="20"/>
                <w:szCs w:val="20"/>
              </w:rPr>
              <w:t>Ítem</w:t>
            </w:r>
          </w:p>
        </w:tc>
        <w:tc>
          <w:tcPr>
            <w:tcW w:w="2494" w:type="pct"/>
            <w:shd w:val="clear" w:color="auto" w:fill="45B0E1" w:themeFill="accent1" w:themeFillTint="99"/>
            <w:hideMark/>
          </w:tcPr>
          <w:p w14:paraId="04DAF6E8" w14:textId="77777777" w:rsidR="000B530C" w:rsidRPr="00E50B75" w:rsidRDefault="000B530C" w:rsidP="00980736">
            <w:pPr>
              <w:spacing w:line="276" w:lineRule="auto"/>
              <w:jc w:val="center"/>
              <w:rPr>
                <w:rFonts w:ascii="Arial Narrow" w:hAnsi="Arial Narrow" w:cs="Arial"/>
                <w:b/>
                <w:bCs/>
                <w:color w:val="000000"/>
                <w:sz w:val="20"/>
                <w:szCs w:val="20"/>
              </w:rPr>
            </w:pPr>
            <w:r w:rsidRPr="00E50B75">
              <w:rPr>
                <w:rFonts w:ascii="Arial Narrow" w:hAnsi="Arial Narrow" w:cs="Arial"/>
                <w:b/>
                <w:bCs/>
                <w:color w:val="000000"/>
                <w:sz w:val="20"/>
                <w:szCs w:val="20"/>
              </w:rPr>
              <w:t>Descripción</w:t>
            </w:r>
          </w:p>
        </w:tc>
        <w:tc>
          <w:tcPr>
            <w:tcW w:w="1038" w:type="pct"/>
            <w:shd w:val="clear" w:color="auto" w:fill="45B0E1" w:themeFill="accent1" w:themeFillTint="99"/>
            <w:hideMark/>
          </w:tcPr>
          <w:p w14:paraId="5F3ECF16" w14:textId="77777777" w:rsidR="000B530C" w:rsidRPr="00E50B75" w:rsidRDefault="000B530C" w:rsidP="00980736">
            <w:pPr>
              <w:spacing w:line="276" w:lineRule="auto"/>
              <w:jc w:val="center"/>
              <w:rPr>
                <w:rFonts w:ascii="Arial Narrow" w:hAnsi="Arial Narrow" w:cs="Calibri"/>
                <w:b/>
                <w:bCs/>
                <w:color w:val="000000"/>
                <w:sz w:val="20"/>
                <w:szCs w:val="20"/>
              </w:rPr>
            </w:pPr>
            <w:r w:rsidRPr="00E50B75">
              <w:rPr>
                <w:rFonts w:ascii="Arial Narrow" w:hAnsi="Arial Narrow" w:cs="Calibri"/>
                <w:b/>
                <w:bCs/>
                <w:color w:val="000000"/>
                <w:sz w:val="20"/>
                <w:szCs w:val="20"/>
              </w:rPr>
              <w:t>Unidad de Medida</w:t>
            </w:r>
          </w:p>
        </w:tc>
        <w:tc>
          <w:tcPr>
            <w:tcW w:w="1113" w:type="pct"/>
            <w:shd w:val="clear" w:color="auto" w:fill="45B0E1" w:themeFill="accent1" w:themeFillTint="99"/>
            <w:hideMark/>
          </w:tcPr>
          <w:p w14:paraId="079B70AA" w14:textId="77777777" w:rsidR="000B530C" w:rsidRPr="00E50B75" w:rsidRDefault="000B530C" w:rsidP="00980736">
            <w:pPr>
              <w:spacing w:line="276" w:lineRule="auto"/>
              <w:jc w:val="center"/>
              <w:rPr>
                <w:rFonts w:ascii="Arial Narrow" w:hAnsi="Arial Narrow" w:cs="Arial"/>
                <w:b/>
                <w:bCs/>
                <w:color w:val="000000"/>
                <w:sz w:val="20"/>
                <w:szCs w:val="20"/>
              </w:rPr>
            </w:pPr>
            <w:r w:rsidRPr="00E50B75">
              <w:rPr>
                <w:rFonts w:ascii="Arial Narrow" w:hAnsi="Arial Narrow" w:cs="Arial"/>
                <w:b/>
                <w:bCs/>
                <w:color w:val="000000"/>
                <w:sz w:val="20"/>
                <w:szCs w:val="20"/>
              </w:rPr>
              <w:t>Cantidad Solicitada</w:t>
            </w:r>
          </w:p>
        </w:tc>
      </w:tr>
      <w:tr w:rsidR="000B530C" w:rsidRPr="00E50B75" w14:paraId="5A2E3041" w14:textId="77777777" w:rsidTr="00980736">
        <w:trPr>
          <w:trHeight w:val="540"/>
        </w:trPr>
        <w:tc>
          <w:tcPr>
            <w:tcW w:w="355" w:type="pct"/>
            <w:shd w:val="clear" w:color="auto" w:fill="auto"/>
            <w:hideMark/>
          </w:tcPr>
          <w:p w14:paraId="6AC51657"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w:t>
            </w:r>
          </w:p>
        </w:tc>
        <w:tc>
          <w:tcPr>
            <w:tcW w:w="2494" w:type="pct"/>
            <w:shd w:val="clear" w:color="auto" w:fill="auto"/>
            <w:hideMark/>
          </w:tcPr>
          <w:p w14:paraId="25F70051"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DE ½ " P.V.C. SCH-40</w:t>
            </w:r>
          </w:p>
        </w:tc>
        <w:tc>
          <w:tcPr>
            <w:tcW w:w="1038" w:type="pct"/>
            <w:shd w:val="clear" w:color="auto" w:fill="auto"/>
            <w:hideMark/>
          </w:tcPr>
          <w:p w14:paraId="0FD3EEE2"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50800434"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1,850</w:t>
            </w:r>
          </w:p>
        </w:tc>
      </w:tr>
      <w:tr w:rsidR="000B530C" w:rsidRPr="00E50B75" w14:paraId="4BBA3EBF" w14:textId="77777777" w:rsidTr="00980736">
        <w:trPr>
          <w:trHeight w:val="450"/>
        </w:trPr>
        <w:tc>
          <w:tcPr>
            <w:tcW w:w="355" w:type="pct"/>
            <w:shd w:val="clear" w:color="auto" w:fill="auto"/>
            <w:hideMark/>
          </w:tcPr>
          <w:p w14:paraId="38FE26F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w:t>
            </w:r>
          </w:p>
        </w:tc>
        <w:tc>
          <w:tcPr>
            <w:tcW w:w="2494" w:type="pct"/>
            <w:shd w:val="clear" w:color="auto" w:fill="auto"/>
            <w:hideMark/>
          </w:tcPr>
          <w:p w14:paraId="092AE85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Ø3/4 PVC, SCH-40</w:t>
            </w:r>
          </w:p>
        </w:tc>
        <w:tc>
          <w:tcPr>
            <w:tcW w:w="1038" w:type="pct"/>
            <w:shd w:val="clear" w:color="auto" w:fill="auto"/>
            <w:hideMark/>
          </w:tcPr>
          <w:p w14:paraId="4E212EEC"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6A11E63A"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1,480</w:t>
            </w:r>
          </w:p>
        </w:tc>
      </w:tr>
      <w:tr w:rsidR="000B530C" w:rsidRPr="00E50B75" w14:paraId="0C081C78" w14:textId="77777777" w:rsidTr="00980736">
        <w:trPr>
          <w:trHeight w:val="450"/>
        </w:trPr>
        <w:tc>
          <w:tcPr>
            <w:tcW w:w="355" w:type="pct"/>
            <w:shd w:val="clear" w:color="auto" w:fill="auto"/>
            <w:hideMark/>
          </w:tcPr>
          <w:p w14:paraId="43061302"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3</w:t>
            </w:r>
          </w:p>
        </w:tc>
        <w:tc>
          <w:tcPr>
            <w:tcW w:w="2494" w:type="pct"/>
            <w:shd w:val="clear" w:color="auto" w:fill="auto"/>
            <w:hideMark/>
          </w:tcPr>
          <w:p w14:paraId="5B140399"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Ø 1</w:t>
            </w:r>
            <w:proofErr w:type="gramStart"/>
            <w:r w:rsidRPr="00E50B75">
              <w:rPr>
                <w:rFonts w:ascii="Arial Narrow" w:hAnsi="Arial Narrow" w:cs="Arial"/>
                <w:color w:val="000000"/>
                <w:sz w:val="16"/>
                <w:szCs w:val="16"/>
              </w:rPr>
              <w:t>"  PVC</w:t>
            </w:r>
            <w:proofErr w:type="gramEnd"/>
            <w:r w:rsidRPr="00E50B75">
              <w:rPr>
                <w:rFonts w:ascii="Arial Narrow" w:hAnsi="Arial Narrow" w:cs="Arial"/>
                <w:color w:val="000000"/>
                <w:sz w:val="16"/>
                <w:szCs w:val="16"/>
              </w:rPr>
              <w:t>. SCH-40</w:t>
            </w:r>
          </w:p>
        </w:tc>
        <w:tc>
          <w:tcPr>
            <w:tcW w:w="1038" w:type="pct"/>
            <w:shd w:val="clear" w:color="auto" w:fill="auto"/>
            <w:hideMark/>
          </w:tcPr>
          <w:p w14:paraId="29DAF68D"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50313D4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740</w:t>
            </w:r>
          </w:p>
        </w:tc>
      </w:tr>
      <w:tr w:rsidR="000B530C" w:rsidRPr="00E50B75" w14:paraId="3F3F4182" w14:textId="77777777" w:rsidTr="00980736">
        <w:trPr>
          <w:trHeight w:val="405"/>
        </w:trPr>
        <w:tc>
          <w:tcPr>
            <w:tcW w:w="355" w:type="pct"/>
            <w:shd w:val="clear" w:color="auto" w:fill="auto"/>
            <w:hideMark/>
          </w:tcPr>
          <w:p w14:paraId="2E38D500"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4</w:t>
            </w:r>
          </w:p>
        </w:tc>
        <w:tc>
          <w:tcPr>
            <w:tcW w:w="2494" w:type="pct"/>
            <w:shd w:val="clear" w:color="auto" w:fill="auto"/>
            <w:hideMark/>
          </w:tcPr>
          <w:p w14:paraId="55503DA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SDR-32.5 L=19 Ø8"</w:t>
            </w:r>
          </w:p>
        </w:tc>
        <w:tc>
          <w:tcPr>
            <w:tcW w:w="1038" w:type="pct"/>
            <w:shd w:val="clear" w:color="auto" w:fill="auto"/>
            <w:hideMark/>
          </w:tcPr>
          <w:p w14:paraId="025B56DE"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05203288"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880</w:t>
            </w:r>
          </w:p>
        </w:tc>
      </w:tr>
      <w:tr w:rsidR="000B530C" w:rsidRPr="00E50B75" w14:paraId="71C64121" w14:textId="77777777" w:rsidTr="00980736">
        <w:trPr>
          <w:trHeight w:val="435"/>
        </w:trPr>
        <w:tc>
          <w:tcPr>
            <w:tcW w:w="355" w:type="pct"/>
            <w:shd w:val="clear" w:color="auto" w:fill="auto"/>
            <w:hideMark/>
          </w:tcPr>
          <w:p w14:paraId="78C0E83D"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5</w:t>
            </w:r>
          </w:p>
        </w:tc>
        <w:tc>
          <w:tcPr>
            <w:tcW w:w="2494" w:type="pct"/>
            <w:shd w:val="clear" w:color="auto" w:fill="auto"/>
            <w:hideMark/>
          </w:tcPr>
          <w:p w14:paraId="1B9A5CC8"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DE 1/2" PVC SCH-80</w:t>
            </w:r>
          </w:p>
        </w:tc>
        <w:tc>
          <w:tcPr>
            <w:tcW w:w="1038" w:type="pct"/>
            <w:shd w:val="clear" w:color="auto" w:fill="auto"/>
            <w:hideMark/>
          </w:tcPr>
          <w:p w14:paraId="0BE6186F"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15442182"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120</w:t>
            </w:r>
          </w:p>
        </w:tc>
      </w:tr>
      <w:tr w:rsidR="000B530C" w:rsidRPr="00E50B75" w14:paraId="048159E4" w14:textId="77777777" w:rsidTr="00980736">
        <w:trPr>
          <w:trHeight w:val="510"/>
        </w:trPr>
        <w:tc>
          <w:tcPr>
            <w:tcW w:w="355" w:type="pct"/>
            <w:shd w:val="clear" w:color="auto" w:fill="auto"/>
            <w:hideMark/>
          </w:tcPr>
          <w:p w14:paraId="5DBD8513"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6</w:t>
            </w:r>
          </w:p>
        </w:tc>
        <w:tc>
          <w:tcPr>
            <w:tcW w:w="2494" w:type="pct"/>
            <w:shd w:val="clear" w:color="auto" w:fill="auto"/>
            <w:hideMark/>
          </w:tcPr>
          <w:p w14:paraId="4AA70DEE"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SCH-80 L=19´ Ø3/4”</w:t>
            </w:r>
          </w:p>
        </w:tc>
        <w:tc>
          <w:tcPr>
            <w:tcW w:w="1038" w:type="pct"/>
            <w:shd w:val="clear" w:color="auto" w:fill="auto"/>
            <w:hideMark/>
          </w:tcPr>
          <w:p w14:paraId="05CE501C"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56E4042F"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250</w:t>
            </w:r>
          </w:p>
        </w:tc>
      </w:tr>
      <w:tr w:rsidR="000B530C" w:rsidRPr="00E50B75" w14:paraId="69315733" w14:textId="77777777" w:rsidTr="00980736">
        <w:trPr>
          <w:trHeight w:val="465"/>
        </w:trPr>
        <w:tc>
          <w:tcPr>
            <w:tcW w:w="355" w:type="pct"/>
            <w:shd w:val="clear" w:color="auto" w:fill="auto"/>
            <w:hideMark/>
          </w:tcPr>
          <w:p w14:paraId="716238F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7</w:t>
            </w:r>
          </w:p>
        </w:tc>
        <w:tc>
          <w:tcPr>
            <w:tcW w:w="2494" w:type="pct"/>
            <w:shd w:val="clear" w:color="auto" w:fill="auto"/>
            <w:hideMark/>
          </w:tcPr>
          <w:p w14:paraId="60317F2D"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PVC DE Ф 1” SCH-80</w:t>
            </w:r>
          </w:p>
        </w:tc>
        <w:tc>
          <w:tcPr>
            <w:tcW w:w="1038" w:type="pct"/>
            <w:shd w:val="clear" w:color="auto" w:fill="auto"/>
            <w:hideMark/>
          </w:tcPr>
          <w:p w14:paraId="65E8DAF4"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3124BB47"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250</w:t>
            </w:r>
          </w:p>
        </w:tc>
      </w:tr>
      <w:tr w:rsidR="000B530C" w:rsidRPr="00E50B75" w14:paraId="21C77F8F" w14:textId="77777777" w:rsidTr="00980736">
        <w:trPr>
          <w:trHeight w:val="570"/>
        </w:trPr>
        <w:tc>
          <w:tcPr>
            <w:tcW w:w="355" w:type="pct"/>
            <w:shd w:val="clear" w:color="auto" w:fill="auto"/>
            <w:hideMark/>
          </w:tcPr>
          <w:p w14:paraId="24EB3983"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8</w:t>
            </w:r>
          </w:p>
        </w:tc>
        <w:tc>
          <w:tcPr>
            <w:tcW w:w="2494" w:type="pct"/>
            <w:shd w:val="clear" w:color="auto" w:fill="auto"/>
            <w:hideMark/>
          </w:tcPr>
          <w:p w14:paraId="6F0A2556"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SCH-80 DE Ф 2 PVC</w:t>
            </w:r>
          </w:p>
        </w:tc>
        <w:tc>
          <w:tcPr>
            <w:tcW w:w="1038" w:type="pct"/>
            <w:shd w:val="clear" w:color="auto" w:fill="auto"/>
            <w:hideMark/>
          </w:tcPr>
          <w:p w14:paraId="734750C5"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11F2919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120</w:t>
            </w:r>
          </w:p>
        </w:tc>
      </w:tr>
      <w:tr w:rsidR="000B530C" w:rsidRPr="00E50B75" w14:paraId="1BAF5CA2" w14:textId="77777777" w:rsidTr="00980736">
        <w:trPr>
          <w:trHeight w:val="525"/>
        </w:trPr>
        <w:tc>
          <w:tcPr>
            <w:tcW w:w="355" w:type="pct"/>
            <w:shd w:val="clear" w:color="auto" w:fill="auto"/>
            <w:hideMark/>
          </w:tcPr>
          <w:p w14:paraId="7D754B8A"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lastRenderedPageBreak/>
              <w:t>9</w:t>
            </w:r>
          </w:p>
        </w:tc>
        <w:tc>
          <w:tcPr>
            <w:tcW w:w="2494" w:type="pct"/>
            <w:shd w:val="clear" w:color="auto" w:fill="auto"/>
            <w:hideMark/>
          </w:tcPr>
          <w:p w14:paraId="17DFEEFC"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E=1/4" Ø2"</w:t>
            </w:r>
          </w:p>
        </w:tc>
        <w:tc>
          <w:tcPr>
            <w:tcW w:w="1038" w:type="pct"/>
            <w:shd w:val="clear" w:color="auto" w:fill="auto"/>
            <w:hideMark/>
          </w:tcPr>
          <w:p w14:paraId="04E00B26"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22185CDD"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60</w:t>
            </w:r>
          </w:p>
        </w:tc>
      </w:tr>
      <w:tr w:rsidR="000B530C" w:rsidRPr="00E50B75" w14:paraId="321103FD" w14:textId="77777777" w:rsidTr="00980736">
        <w:trPr>
          <w:trHeight w:val="555"/>
        </w:trPr>
        <w:tc>
          <w:tcPr>
            <w:tcW w:w="355" w:type="pct"/>
            <w:shd w:val="clear" w:color="auto" w:fill="auto"/>
            <w:hideMark/>
          </w:tcPr>
          <w:p w14:paraId="31817E3B"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10</w:t>
            </w:r>
          </w:p>
        </w:tc>
        <w:tc>
          <w:tcPr>
            <w:tcW w:w="2494" w:type="pct"/>
            <w:shd w:val="clear" w:color="auto" w:fill="auto"/>
            <w:hideMark/>
          </w:tcPr>
          <w:p w14:paraId="4FD46CE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E=1/4" Ø3"</w:t>
            </w:r>
          </w:p>
        </w:tc>
        <w:tc>
          <w:tcPr>
            <w:tcW w:w="1038" w:type="pct"/>
            <w:shd w:val="clear" w:color="auto" w:fill="auto"/>
            <w:hideMark/>
          </w:tcPr>
          <w:p w14:paraId="2363DBF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48F9CBEC"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70</w:t>
            </w:r>
          </w:p>
        </w:tc>
      </w:tr>
      <w:tr w:rsidR="000B530C" w:rsidRPr="00E50B75" w14:paraId="368EF780" w14:textId="77777777" w:rsidTr="00980736">
        <w:trPr>
          <w:trHeight w:val="510"/>
        </w:trPr>
        <w:tc>
          <w:tcPr>
            <w:tcW w:w="355" w:type="pct"/>
            <w:shd w:val="clear" w:color="auto" w:fill="auto"/>
            <w:hideMark/>
          </w:tcPr>
          <w:p w14:paraId="51D2BFED"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11</w:t>
            </w:r>
          </w:p>
        </w:tc>
        <w:tc>
          <w:tcPr>
            <w:tcW w:w="2494" w:type="pct"/>
            <w:shd w:val="clear" w:color="auto" w:fill="auto"/>
            <w:hideMark/>
          </w:tcPr>
          <w:p w14:paraId="1D19B7B9"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E=1/4" Ø4"</w:t>
            </w:r>
          </w:p>
        </w:tc>
        <w:tc>
          <w:tcPr>
            <w:tcW w:w="1038" w:type="pct"/>
            <w:shd w:val="clear" w:color="auto" w:fill="auto"/>
            <w:hideMark/>
          </w:tcPr>
          <w:p w14:paraId="7EA9F8C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59B958C2"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40</w:t>
            </w:r>
          </w:p>
        </w:tc>
      </w:tr>
      <w:tr w:rsidR="000B530C" w:rsidRPr="00E50B75" w14:paraId="75A1B80A" w14:textId="77777777" w:rsidTr="00980736">
        <w:trPr>
          <w:trHeight w:val="480"/>
        </w:trPr>
        <w:tc>
          <w:tcPr>
            <w:tcW w:w="355" w:type="pct"/>
            <w:shd w:val="clear" w:color="auto" w:fill="auto"/>
            <w:hideMark/>
          </w:tcPr>
          <w:p w14:paraId="25B9A7FE"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12</w:t>
            </w:r>
          </w:p>
        </w:tc>
        <w:tc>
          <w:tcPr>
            <w:tcW w:w="2494" w:type="pct"/>
            <w:shd w:val="clear" w:color="auto" w:fill="auto"/>
            <w:hideMark/>
          </w:tcPr>
          <w:p w14:paraId="5E6E817B"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E=3/8" Ø8"</w:t>
            </w:r>
          </w:p>
        </w:tc>
        <w:tc>
          <w:tcPr>
            <w:tcW w:w="1038" w:type="pct"/>
            <w:shd w:val="clear" w:color="auto" w:fill="auto"/>
            <w:hideMark/>
          </w:tcPr>
          <w:p w14:paraId="506A2D17"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1450AA4B"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40</w:t>
            </w:r>
          </w:p>
        </w:tc>
      </w:tr>
      <w:tr w:rsidR="000B530C" w:rsidRPr="00E50B75" w14:paraId="0DB524D6" w14:textId="77777777" w:rsidTr="00980736">
        <w:trPr>
          <w:trHeight w:val="540"/>
        </w:trPr>
        <w:tc>
          <w:tcPr>
            <w:tcW w:w="355" w:type="pct"/>
            <w:shd w:val="clear" w:color="auto" w:fill="auto"/>
            <w:hideMark/>
          </w:tcPr>
          <w:p w14:paraId="581E4BB2"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13</w:t>
            </w:r>
          </w:p>
        </w:tc>
        <w:tc>
          <w:tcPr>
            <w:tcW w:w="2494" w:type="pct"/>
            <w:shd w:val="clear" w:color="auto" w:fill="auto"/>
            <w:hideMark/>
          </w:tcPr>
          <w:p w14:paraId="1D4AD371"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E=3/8" Ø12"</w:t>
            </w:r>
          </w:p>
        </w:tc>
        <w:tc>
          <w:tcPr>
            <w:tcW w:w="1038" w:type="pct"/>
            <w:shd w:val="clear" w:color="auto" w:fill="auto"/>
            <w:hideMark/>
          </w:tcPr>
          <w:p w14:paraId="5A9E5F7B"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08C1CBD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40</w:t>
            </w:r>
          </w:p>
        </w:tc>
      </w:tr>
      <w:tr w:rsidR="000B530C" w:rsidRPr="00E50B75" w14:paraId="6D10A8D1" w14:textId="77777777" w:rsidTr="00980736">
        <w:trPr>
          <w:trHeight w:val="555"/>
        </w:trPr>
        <w:tc>
          <w:tcPr>
            <w:tcW w:w="355" w:type="pct"/>
            <w:shd w:val="clear" w:color="auto" w:fill="auto"/>
            <w:hideMark/>
          </w:tcPr>
          <w:p w14:paraId="7952EEA5"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14</w:t>
            </w:r>
          </w:p>
        </w:tc>
        <w:tc>
          <w:tcPr>
            <w:tcW w:w="2494" w:type="pct"/>
            <w:shd w:val="clear" w:color="auto" w:fill="auto"/>
            <w:hideMark/>
          </w:tcPr>
          <w:p w14:paraId="7D9A2606"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E=3/8" Ø16"</w:t>
            </w:r>
          </w:p>
        </w:tc>
        <w:tc>
          <w:tcPr>
            <w:tcW w:w="1038" w:type="pct"/>
            <w:shd w:val="clear" w:color="auto" w:fill="auto"/>
            <w:hideMark/>
          </w:tcPr>
          <w:p w14:paraId="1DB1BE9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46E8D3C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35</w:t>
            </w:r>
          </w:p>
        </w:tc>
      </w:tr>
      <w:tr w:rsidR="000B530C" w:rsidRPr="00E50B75" w14:paraId="61E32558" w14:textId="77777777" w:rsidTr="00980736">
        <w:trPr>
          <w:trHeight w:val="435"/>
        </w:trPr>
        <w:tc>
          <w:tcPr>
            <w:tcW w:w="355" w:type="pct"/>
            <w:shd w:val="clear" w:color="auto" w:fill="auto"/>
            <w:hideMark/>
          </w:tcPr>
          <w:p w14:paraId="332956FB"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15</w:t>
            </w:r>
          </w:p>
        </w:tc>
        <w:tc>
          <w:tcPr>
            <w:tcW w:w="2494" w:type="pct"/>
            <w:shd w:val="clear" w:color="auto" w:fill="auto"/>
            <w:hideMark/>
          </w:tcPr>
          <w:p w14:paraId="53FABB2A"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E=3/8" Ø20"</w:t>
            </w:r>
          </w:p>
        </w:tc>
        <w:tc>
          <w:tcPr>
            <w:tcW w:w="1038" w:type="pct"/>
            <w:shd w:val="clear" w:color="auto" w:fill="auto"/>
            <w:hideMark/>
          </w:tcPr>
          <w:p w14:paraId="54EB2E3F"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5D5A079E"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30</w:t>
            </w:r>
          </w:p>
        </w:tc>
      </w:tr>
      <w:tr w:rsidR="000B530C" w:rsidRPr="00E50B75" w14:paraId="3E4E287E" w14:textId="77777777" w:rsidTr="00980736">
        <w:trPr>
          <w:trHeight w:val="390"/>
        </w:trPr>
        <w:tc>
          <w:tcPr>
            <w:tcW w:w="355" w:type="pct"/>
            <w:shd w:val="clear" w:color="auto" w:fill="auto"/>
            <w:hideMark/>
          </w:tcPr>
          <w:p w14:paraId="621C7EDA"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16</w:t>
            </w:r>
          </w:p>
        </w:tc>
        <w:tc>
          <w:tcPr>
            <w:tcW w:w="2494" w:type="pct"/>
            <w:shd w:val="clear" w:color="auto" w:fill="auto"/>
            <w:hideMark/>
          </w:tcPr>
          <w:p w14:paraId="7A3B61E2"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E=3/8" Ø24"</w:t>
            </w:r>
          </w:p>
        </w:tc>
        <w:tc>
          <w:tcPr>
            <w:tcW w:w="1038" w:type="pct"/>
            <w:shd w:val="clear" w:color="auto" w:fill="auto"/>
            <w:hideMark/>
          </w:tcPr>
          <w:p w14:paraId="5327227F"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1F6344AB"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6</w:t>
            </w:r>
          </w:p>
        </w:tc>
      </w:tr>
      <w:tr w:rsidR="000B530C" w:rsidRPr="00E50B75" w14:paraId="03881595" w14:textId="77777777" w:rsidTr="00980736">
        <w:trPr>
          <w:trHeight w:val="405"/>
        </w:trPr>
        <w:tc>
          <w:tcPr>
            <w:tcW w:w="355" w:type="pct"/>
            <w:shd w:val="clear" w:color="auto" w:fill="auto"/>
            <w:hideMark/>
          </w:tcPr>
          <w:p w14:paraId="5774317B"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17</w:t>
            </w:r>
          </w:p>
        </w:tc>
        <w:tc>
          <w:tcPr>
            <w:tcW w:w="2494" w:type="pct"/>
            <w:shd w:val="clear" w:color="auto" w:fill="auto"/>
            <w:hideMark/>
          </w:tcPr>
          <w:p w14:paraId="1F9B0F02"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SDR-26 L=19' Ø12"</w:t>
            </w:r>
          </w:p>
        </w:tc>
        <w:tc>
          <w:tcPr>
            <w:tcW w:w="1038" w:type="pct"/>
            <w:shd w:val="clear" w:color="auto" w:fill="auto"/>
            <w:hideMark/>
          </w:tcPr>
          <w:p w14:paraId="1A9B729B"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58886499"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40</w:t>
            </w:r>
          </w:p>
        </w:tc>
      </w:tr>
      <w:tr w:rsidR="000B530C" w:rsidRPr="00E50B75" w14:paraId="16C0454A" w14:textId="77777777" w:rsidTr="00980736">
        <w:trPr>
          <w:trHeight w:val="525"/>
        </w:trPr>
        <w:tc>
          <w:tcPr>
            <w:tcW w:w="355" w:type="pct"/>
            <w:shd w:val="clear" w:color="auto" w:fill="auto"/>
            <w:hideMark/>
          </w:tcPr>
          <w:p w14:paraId="16B099F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18</w:t>
            </w:r>
          </w:p>
        </w:tc>
        <w:tc>
          <w:tcPr>
            <w:tcW w:w="2494" w:type="pct"/>
            <w:shd w:val="clear" w:color="auto" w:fill="auto"/>
            <w:hideMark/>
          </w:tcPr>
          <w:p w14:paraId="10108D34"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SDR-26 L=19' Ø16"</w:t>
            </w:r>
          </w:p>
        </w:tc>
        <w:tc>
          <w:tcPr>
            <w:tcW w:w="1038" w:type="pct"/>
            <w:shd w:val="clear" w:color="auto" w:fill="auto"/>
            <w:hideMark/>
          </w:tcPr>
          <w:p w14:paraId="6605B4E4"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03F98718"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90</w:t>
            </w:r>
          </w:p>
        </w:tc>
      </w:tr>
      <w:tr w:rsidR="000B530C" w:rsidRPr="00E50B75" w14:paraId="0BF8EFA8" w14:textId="77777777" w:rsidTr="00980736">
        <w:trPr>
          <w:trHeight w:val="420"/>
        </w:trPr>
        <w:tc>
          <w:tcPr>
            <w:tcW w:w="355" w:type="pct"/>
            <w:shd w:val="clear" w:color="auto" w:fill="auto"/>
            <w:hideMark/>
          </w:tcPr>
          <w:p w14:paraId="692EE9BE"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19</w:t>
            </w:r>
          </w:p>
        </w:tc>
        <w:tc>
          <w:tcPr>
            <w:tcW w:w="2494" w:type="pct"/>
            <w:shd w:val="clear" w:color="auto" w:fill="auto"/>
            <w:hideMark/>
          </w:tcPr>
          <w:p w14:paraId="47CA1143"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SDR-26 L=19' Ø20"</w:t>
            </w:r>
          </w:p>
        </w:tc>
        <w:tc>
          <w:tcPr>
            <w:tcW w:w="1038" w:type="pct"/>
            <w:shd w:val="clear" w:color="auto" w:fill="auto"/>
            <w:hideMark/>
          </w:tcPr>
          <w:p w14:paraId="2E051F1E"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15878B55"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45</w:t>
            </w:r>
          </w:p>
        </w:tc>
      </w:tr>
      <w:tr w:rsidR="000B530C" w:rsidRPr="00E50B75" w14:paraId="2F0B6BE1" w14:textId="77777777" w:rsidTr="00980736">
        <w:trPr>
          <w:trHeight w:val="420"/>
        </w:trPr>
        <w:tc>
          <w:tcPr>
            <w:tcW w:w="355" w:type="pct"/>
            <w:shd w:val="clear" w:color="auto" w:fill="auto"/>
            <w:hideMark/>
          </w:tcPr>
          <w:p w14:paraId="680EC736"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20</w:t>
            </w:r>
          </w:p>
        </w:tc>
        <w:tc>
          <w:tcPr>
            <w:tcW w:w="2494" w:type="pct"/>
            <w:shd w:val="clear" w:color="auto" w:fill="auto"/>
            <w:hideMark/>
          </w:tcPr>
          <w:p w14:paraId="19FD51E3"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HG Ø1-1/2"</w:t>
            </w:r>
          </w:p>
        </w:tc>
        <w:tc>
          <w:tcPr>
            <w:tcW w:w="1038" w:type="pct"/>
            <w:shd w:val="clear" w:color="auto" w:fill="auto"/>
            <w:hideMark/>
          </w:tcPr>
          <w:p w14:paraId="263B4131"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4A40B277"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50</w:t>
            </w:r>
          </w:p>
        </w:tc>
      </w:tr>
      <w:tr w:rsidR="000B530C" w:rsidRPr="00E50B75" w14:paraId="58C63C2F" w14:textId="77777777" w:rsidTr="00980736">
        <w:trPr>
          <w:trHeight w:val="510"/>
        </w:trPr>
        <w:tc>
          <w:tcPr>
            <w:tcW w:w="355" w:type="pct"/>
            <w:shd w:val="clear" w:color="auto" w:fill="auto"/>
            <w:hideMark/>
          </w:tcPr>
          <w:p w14:paraId="643658C0"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21</w:t>
            </w:r>
          </w:p>
        </w:tc>
        <w:tc>
          <w:tcPr>
            <w:tcW w:w="2494" w:type="pct"/>
            <w:shd w:val="clear" w:color="auto" w:fill="auto"/>
            <w:hideMark/>
          </w:tcPr>
          <w:p w14:paraId="13F79891"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HG Ø2"</w:t>
            </w:r>
          </w:p>
        </w:tc>
        <w:tc>
          <w:tcPr>
            <w:tcW w:w="1038" w:type="pct"/>
            <w:shd w:val="clear" w:color="auto" w:fill="auto"/>
            <w:hideMark/>
          </w:tcPr>
          <w:p w14:paraId="1CA4ABD9"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74616E02"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50</w:t>
            </w:r>
          </w:p>
        </w:tc>
      </w:tr>
      <w:tr w:rsidR="000B530C" w:rsidRPr="00E50B75" w14:paraId="24800522" w14:textId="77777777" w:rsidTr="00980736">
        <w:trPr>
          <w:trHeight w:val="450"/>
        </w:trPr>
        <w:tc>
          <w:tcPr>
            <w:tcW w:w="355" w:type="pct"/>
            <w:shd w:val="clear" w:color="auto" w:fill="auto"/>
            <w:hideMark/>
          </w:tcPr>
          <w:p w14:paraId="47FFC1D9"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22</w:t>
            </w:r>
          </w:p>
        </w:tc>
        <w:tc>
          <w:tcPr>
            <w:tcW w:w="2494" w:type="pct"/>
            <w:shd w:val="clear" w:color="auto" w:fill="auto"/>
            <w:hideMark/>
          </w:tcPr>
          <w:p w14:paraId="39BC7574"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SDR-32.5 L=19 Ø6"</w:t>
            </w:r>
          </w:p>
        </w:tc>
        <w:tc>
          <w:tcPr>
            <w:tcW w:w="1038" w:type="pct"/>
            <w:shd w:val="clear" w:color="auto" w:fill="auto"/>
            <w:hideMark/>
          </w:tcPr>
          <w:p w14:paraId="0DF2B1E5"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329F4DFF"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800</w:t>
            </w:r>
          </w:p>
        </w:tc>
      </w:tr>
      <w:tr w:rsidR="000B530C" w:rsidRPr="00E50B75" w14:paraId="32A0EA1E" w14:textId="77777777" w:rsidTr="00980736">
        <w:trPr>
          <w:trHeight w:val="480"/>
        </w:trPr>
        <w:tc>
          <w:tcPr>
            <w:tcW w:w="355" w:type="pct"/>
            <w:shd w:val="clear" w:color="auto" w:fill="auto"/>
            <w:hideMark/>
          </w:tcPr>
          <w:p w14:paraId="5E51A67E"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23</w:t>
            </w:r>
          </w:p>
        </w:tc>
        <w:tc>
          <w:tcPr>
            <w:tcW w:w="2494" w:type="pct"/>
            <w:shd w:val="clear" w:color="auto" w:fill="auto"/>
            <w:hideMark/>
          </w:tcPr>
          <w:p w14:paraId="7D6D1200"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SDR-32.5 L=19 Ø12"</w:t>
            </w:r>
          </w:p>
        </w:tc>
        <w:tc>
          <w:tcPr>
            <w:tcW w:w="1038" w:type="pct"/>
            <w:shd w:val="clear" w:color="auto" w:fill="auto"/>
            <w:hideMark/>
          </w:tcPr>
          <w:p w14:paraId="5C588F39"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4C7B560C"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70</w:t>
            </w:r>
          </w:p>
        </w:tc>
      </w:tr>
      <w:tr w:rsidR="000B530C" w:rsidRPr="00E50B75" w14:paraId="491D51D4" w14:textId="77777777" w:rsidTr="00980736">
        <w:trPr>
          <w:trHeight w:val="375"/>
        </w:trPr>
        <w:tc>
          <w:tcPr>
            <w:tcW w:w="355" w:type="pct"/>
            <w:shd w:val="clear" w:color="auto" w:fill="auto"/>
            <w:hideMark/>
          </w:tcPr>
          <w:p w14:paraId="62425FFB"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24</w:t>
            </w:r>
          </w:p>
        </w:tc>
        <w:tc>
          <w:tcPr>
            <w:tcW w:w="2494" w:type="pct"/>
            <w:shd w:val="clear" w:color="auto" w:fill="auto"/>
            <w:hideMark/>
          </w:tcPr>
          <w:p w14:paraId="27690D48"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TUBERIAS PVC SDR-26 L=19' Ø4"</w:t>
            </w:r>
          </w:p>
        </w:tc>
        <w:tc>
          <w:tcPr>
            <w:tcW w:w="1038" w:type="pct"/>
            <w:shd w:val="clear" w:color="auto" w:fill="auto"/>
            <w:hideMark/>
          </w:tcPr>
          <w:p w14:paraId="042F489E"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2501977D"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80</w:t>
            </w:r>
          </w:p>
        </w:tc>
      </w:tr>
      <w:tr w:rsidR="000B530C" w:rsidRPr="00E50B75" w14:paraId="655DC43D" w14:textId="77777777" w:rsidTr="00980736">
        <w:trPr>
          <w:trHeight w:val="525"/>
        </w:trPr>
        <w:tc>
          <w:tcPr>
            <w:tcW w:w="355" w:type="pct"/>
            <w:shd w:val="clear" w:color="auto" w:fill="auto"/>
            <w:hideMark/>
          </w:tcPr>
          <w:p w14:paraId="04D90D6F"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25</w:t>
            </w:r>
          </w:p>
        </w:tc>
        <w:tc>
          <w:tcPr>
            <w:tcW w:w="2494" w:type="pct"/>
            <w:shd w:val="clear" w:color="auto" w:fill="auto"/>
            <w:hideMark/>
          </w:tcPr>
          <w:p w14:paraId="15E4FF84"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DE ACERO E=3/8" Ø6"</w:t>
            </w:r>
          </w:p>
        </w:tc>
        <w:tc>
          <w:tcPr>
            <w:tcW w:w="1038" w:type="pct"/>
            <w:shd w:val="clear" w:color="auto" w:fill="auto"/>
            <w:hideMark/>
          </w:tcPr>
          <w:p w14:paraId="0D2B3A88"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4E712323"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70</w:t>
            </w:r>
          </w:p>
        </w:tc>
      </w:tr>
      <w:tr w:rsidR="000B530C" w:rsidRPr="00E50B75" w14:paraId="05D3EC99" w14:textId="77777777" w:rsidTr="00980736">
        <w:trPr>
          <w:trHeight w:val="660"/>
        </w:trPr>
        <w:tc>
          <w:tcPr>
            <w:tcW w:w="355" w:type="pct"/>
            <w:shd w:val="clear" w:color="auto" w:fill="auto"/>
            <w:hideMark/>
          </w:tcPr>
          <w:p w14:paraId="593E3FC9"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26</w:t>
            </w:r>
          </w:p>
        </w:tc>
        <w:tc>
          <w:tcPr>
            <w:tcW w:w="2494" w:type="pct"/>
            <w:shd w:val="clear" w:color="auto" w:fill="auto"/>
            <w:hideMark/>
          </w:tcPr>
          <w:p w14:paraId="4421E3E0"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 GALVANIZADO PARA MALLA 1 1/2" X 20" HG Ø1-1/2"</w:t>
            </w:r>
          </w:p>
        </w:tc>
        <w:tc>
          <w:tcPr>
            <w:tcW w:w="1038" w:type="pct"/>
            <w:shd w:val="clear" w:color="auto" w:fill="auto"/>
            <w:hideMark/>
          </w:tcPr>
          <w:p w14:paraId="632FEAC1"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404DDAE9"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50</w:t>
            </w:r>
          </w:p>
        </w:tc>
      </w:tr>
      <w:tr w:rsidR="000B530C" w:rsidRPr="00E50B75" w14:paraId="1B27B627" w14:textId="77777777" w:rsidTr="00980736">
        <w:trPr>
          <w:trHeight w:val="645"/>
        </w:trPr>
        <w:tc>
          <w:tcPr>
            <w:tcW w:w="355" w:type="pct"/>
            <w:shd w:val="clear" w:color="auto" w:fill="auto"/>
            <w:hideMark/>
          </w:tcPr>
          <w:p w14:paraId="2E2855CB"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27</w:t>
            </w:r>
          </w:p>
        </w:tc>
        <w:tc>
          <w:tcPr>
            <w:tcW w:w="2494" w:type="pct"/>
            <w:shd w:val="clear" w:color="auto" w:fill="auto"/>
            <w:hideMark/>
          </w:tcPr>
          <w:p w14:paraId="5C7006AA"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MET DE 3/4 GALVANIZADO AMERICANO</w:t>
            </w:r>
          </w:p>
        </w:tc>
        <w:tc>
          <w:tcPr>
            <w:tcW w:w="1038" w:type="pct"/>
            <w:shd w:val="clear" w:color="auto" w:fill="auto"/>
            <w:hideMark/>
          </w:tcPr>
          <w:p w14:paraId="50BC9142"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6D1D6139"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700</w:t>
            </w:r>
          </w:p>
        </w:tc>
      </w:tr>
      <w:tr w:rsidR="000B530C" w:rsidRPr="00E50B75" w14:paraId="47F2E1A0" w14:textId="77777777" w:rsidTr="00980736">
        <w:trPr>
          <w:trHeight w:val="540"/>
        </w:trPr>
        <w:tc>
          <w:tcPr>
            <w:tcW w:w="355" w:type="pct"/>
            <w:shd w:val="clear" w:color="auto" w:fill="auto"/>
            <w:hideMark/>
          </w:tcPr>
          <w:p w14:paraId="5D83C61D"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28</w:t>
            </w:r>
          </w:p>
        </w:tc>
        <w:tc>
          <w:tcPr>
            <w:tcW w:w="2494" w:type="pct"/>
            <w:shd w:val="clear" w:color="auto" w:fill="auto"/>
            <w:hideMark/>
          </w:tcPr>
          <w:p w14:paraId="23543F79" w14:textId="77777777" w:rsidR="000B530C" w:rsidRPr="00E50B75" w:rsidRDefault="000B530C" w:rsidP="00980736">
            <w:pPr>
              <w:spacing w:line="276" w:lineRule="auto"/>
              <w:rPr>
                <w:rFonts w:ascii="Arial Narrow" w:hAnsi="Arial Narrow" w:cs="Arial"/>
                <w:color w:val="000000"/>
                <w:sz w:val="16"/>
                <w:szCs w:val="16"/>
              </w:rPr>
            </w:pPr>
            <w:r w:rsidRPr="00E50B75">
              <w:rPr>
                <w:rFonts w:ascii="Arial Narrow" w:hAnsi="Arial Narrow" w:cs="Arial"/>
                <w:color w:val="000000"/>
                <w:sz w:val="16"/>
                <w:szCs w:val="16"/>
              </w:rPr>
              <w:t xml:space="preserve"> TUBOS MET DE 1 PULGADA GALVANIZADO REFORZADO</w:t>
            </w:r>
          </w:p>
        </w:tc>
        <w:tc>
          <w:tcPr>
            <w:tcW w:w="1038" w:type="pct"/>
            <w:shd w:val="clear" w:color="auto" w:fill="auto"/>
            <w:hideMark/>
          </w:tcPr>
          <w:p w14:paraId="7213BEE0"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UNIDADES</w:t>
            </w:r>
          </w:p>
        </w:tc>
        <w:tc>
          <w:tcPr>
            <w:tcW w:w="1113" w:type="pct"/>
            <w:shd w:val="clear" w:color="auto" w:fill="auto"/>
            <w:hideMark/>
          </w:tcPr>
          <w:p w14:paraId="7A8E80DF" w14:textId="77777777" w:rsidR="000B530C" w:rsidRPr="00E50B75" w:rsidRDefault="000B530C" w:rsidP="00980736">
            <w:pPr>
              <w:spacing w:line="276" w:lineRule="auto"/>
              <w:jc w:val="center"/>
              <w:rPr>
                <w:rFonts w:ascii="Arial Narrow" w:hAnsi="Arial Narrow" w:cs="Arial"/>
                <w:color w:val="000000"/>
                <w:sz w:val="16"/>
                <w:szCs w:val="16"/>
              </w:rPr>
            </w:pPr>
            <w:r w:rsidRPr="00E50B75">
              <w:rPr>
                <w:rFonts w:ascii="Arial Narrow" w:hAnsi="Arial Narrow" w:cs="Arial"/>
                <w:color w:val="000000"/>
                <w:sz w:val="16"/>
                <w:szCs w:val="16"/>
              </w:rPr>
              <w:t>100</w:t>
            </w:r>
          </w:p>
        </w:tc>
      </w:tr>
    </w:tbl>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lastRenderedPageBreak/>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lastRenderedPageBreak/>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2C1602B"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A94DA8" w:rsidRPr="00A94DA8">
        <w:rPr>
          <w:b/>
        </w:rPr>
        <w:t>ADQUISICION DE TUBOS Y TUBERIAS PARA LOS TRABAJOS DE REPARACION DE AVERIAS Y MANTENIMIENTO EN TODOS LOS SISTEMAS DE ACUEDUCTOS Y ALCANTARILLADOS DEL INAPA</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5A3113">
        <w:rPr>
          <w:b/>
          <w:sz w:val="22"/>
          <w:szCs w:val="22"/>
        </w:rPr>
        <w:t>LPN-202</w:t>
      </w:r>
      <w:r w:rsidR="00550767">
        <w:rPr>
          <w:b/>
          <w:sz w:val="22"/>
          <w:szCs w:val="22"/>
        </w:rPr>
        <w:t>6</w:t>
      </w:r>
      <w:r w:rsidR="005A3113">
        <w:rPr>
          <w:b/>
          <w:sz w:val="22"/>
          <w:szCs w:val="22"/>
        </w:rPr>
        <w:t>-00</w:t>
      </w:r>
      <w:r w:rsidR="007E47A4">
        <w:rPr>
          <w:b/>
          <w:sz w:val="22"/>
          <w:szCs w:val="22"/>
        </w:rPr>
        <w:t>13</w:t>
      </w:r>
      <w:bookmarkStart w:id="2" w:name="_GoBack"/>
      <w:bookmarkEnd w:id="2"/>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lastRenderedPageBreak/>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w:t>
      </w:r>
      <w:r w:rsidR="00C11D26" w:rsidRPr="004D177F">
        <w:rPr>
          <w:sz w:val="22"/>
          <w:szCs w:val="22"/>
        </w:rPr>
        <w:lastRenderedPageBreak/>
        <w:t>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w:t>
      </w:r>
      <w:r w:rsidRPr="006B443B">
        <w:rPr>
          <w:sz w:val="22"/>
          <w:szCs w:val="22"/>
        </w:rPr>
        <w:lastRenderedPageBreak/>
        <w:t xml:space="preserve">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w:t>
      </w:r>
      <w:r w:rsidRPr="004D177F">
        <w:rPr>
          <w:sz w:val="22"/>
          <w:szCs w:val="22"/>
          <w:lang w:val="es-ES_tradnl"/>
        </w:rPr>
        <w:lastRenderedPageBreak/>
        <w:t>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lastRenderedPageBreak/>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3A2B4" w14:textId="77777777" w:rsidR="00014E16" w:rsidRDefault="00014E16" w:rsidP="00465CCF">
      <w:r>
        <w:separator/>
      </w:r>
    </w:p>
  </w:endnote>
  <w:endnote w:type="continuationSeparator" w:id="0">
    <w:p w14:paraId="653C009C" w14:textId="77777777" w:rsidR="00014E16" w:rsidRDefault="00014E1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C47B49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E47A4">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E47A4">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D54AA" w14:textId="77777777" w:rsidR="00014E16" w:rsidRDefault="00014E16" w:rsidP="00465CCF">
      <w:r>
        <w:separator/>
      </w:r>
    </w:p>
  </w:footnote>
  <w:footnote w:type="continuationSeparator" w:id="0">
    <w:p w14:paraId="6DE78669" w14:textId="77777777" w:rsidR="00014E16" w:rsidRDefault="00014E1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14E16"/>
    <w:rsid w:val="0002070A"/>
    <w:rsid w:val="00025799"/>
    <w:rsid w:val="000257CC"/>
    <w:rsid w:val="0002732B"/>
    <w:rsid w:val="00043B0D"/>
    <w:rsid w:val="00060D30"/>
    <w:rsid w:val="00067350"/>
    <w:rsid w:val="000850B7"/>
    <w:rsid w:val="00094CC1"/>
    <w:rsid w:val="000B530C"/>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0C1B"/>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67BFE"/>
    <w:rsid w:val="00272889"/>
    <w:rsid w:val="00280B09"/>
    <w:rsid w:val="002A7107"/>
    <w:rsid w:val="002B6777"/>
    <w:rsid w:val="002C141E"/>
    <w:rsid w:val="002C444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21B9D"/>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47A4"/>
    <w:rsid w:val="007E65DC"/>
    <w:rsid w:val="007F0767"/>
    <w:rsid w:val="007F66E0"/>
    <w:rsid w:val="00800A5E"/>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2F7"/>
    <w:rsid w:val="00A31928"/>
    <w:rsid w:val="00A32E0C"/>
    <w:rsid w:val="00A462D8"/>
    <w:rsid w:val="00A63E06"/>
    <w:rsid w:val="00A94DA8"/>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8710D"/>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06A4F"/>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8DFB-9512-4ED4-9975-633B62B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13</Pages>
  <Words>6466</Words>
  <Characters>36861</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27</cp:revision>
  <cp:lastPrinted>2024-03-19T13:17:00Z</cp:lastPrinted>
  <dcterms:created xsi:type="dcterms:W3CDTF">2026-04-06T14:51:00Z</dcterms:created>
  <dcterms:modified xsi:type="dcterms:W3CDTF">2026-05-12T15:00:00Z</dcterms:modified>
</cp:coreProperties>
</file>