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E04439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INAPA-CCC-LPN-202</w:t>
            </w:r>
            <w:r w:rsidR="006A0F52">
              <w:rPr>
                <w:rFonts w:ascii="Arial" w:hAnsi="Arial"/>
                <w:b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sz w:val="20"/>
                <w:szCs w:val="20"/>
              </w:rPr>
              <w:t>-00</w:t>
            </w:r>
            <w:r w:rsidR="006A0F52">
              <w:rPr>
                <w:rFonts w:ascii="Arial" w:hAnsi="Arial"/>
                <w:b/>
                <w:sz w:val="20"/>
                <w:szCs w:val="20"/>
              </w:rPr>
              <w:t>04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607A24" w:rsidRPr="00810331" w:rsidRDefault="00F20369" w:rsidP="004A0908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  <w:r w:rsidRPr="00F20369">
              <w:rPr>
                <w:rFonts w:ascii="Arial" w:hAnsi="Arial"/>
                <w:b/>
              </w:rPr>
              <w:t>CONTRATACIÓN DE SERVICIOS DE TALLERES PARA REPARACIÓN DE MOTORES Y BOMBAS PARA EL FUNCIONAMIENTO DE LOS ACUEDUCTOS A NIVEL NACIONAL DEL INAPA.</w:t>
            </w:r>
            <w:bookmarkStart w:id="0" w:name="_GoBack"/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30411"/>
    <w:rsid w:val="004718F0"/>
    <w:rsid w:val="004A0908"/>
    <w:rsid w:val="00607A24"/>
    <w:rsid w:val="006A0F52"/>
    <w:rsid w:val="007C6DAA"/>
    <w:rsid w:val="00810331"/>
    <w:rsid w:val="008E0D29"/>
    <w:rsid w:val="00AB7B01"/>
    <w:rsid w:val="00BD39FC"/>
    <w:rsid w:val="00C7566D"/>
    <w:rsid w:val="00E04439"/>
    <w:rsid w:val="00E923B1"/>
    <w:rsid w:val="00F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13</cp:revision>
  <cp:lastPrinted>2025-09-22T16:12:00Z</cp:lastPrinted>
  <dcterms:created xsi:type="dcterms:W3CDTF">2025-05-15T14:55:00Z</dcterms:created>
  <dcterms:modified xsi:type="dcterms:W3CDTF">2026-05-08T13:21:00Z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