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bookmarkStart w:id="0" w:name="_GoBack" w:colFirst="1" w:colLast="1"/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EF113D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INAPA-CCC-LPN-202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>
              <w:rPr>
                <w:rFonts w:ascii="Arial" w:hAnsi="Arial"/>
                <w:b/>
                <w:sz w:val="20"/>
                <w:szCs w:val="20"/>
              </w:rPr>
              <w:t>-00</w:t>
            </w:r>
            <w:r w:rsidR="008C0B88">
              <w:rPr>
                <w:rFonts w:ascii="Arial" w:hAnsi="Arial"/>
                <w:b/>
                <w:sz w:val="20"/>
                <w:szCs w:val="20"/>
              </w:rPr>
              <w:t>13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Pr="008C0B88" w:rsidRDefault="000B2DF0" w:rsidP="004A0908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8C0B88" w:rsidRDefault="000B2DF0" w:rsidP="000B2DF0">
            <w:pPr>
              <w:rPr>
                <w:b/>
              </w:rPr>
            </w:pPr>
          </w:p>
          <w:p w:rsidR="00607A24" w:rsidRPr="008C0B88" w:rsidRDefault="008C0B88" w:rsidP="000B2DF0">
            <w:pPr>
              <w:tabs>
                <w:tab w:val="left" w:pos="915"/>
              </w:tabs>
              <w:rPr>
                <w:b/>
              </w:rPr>
            </w:pPr>
            <w:r w:rsidRPr="008C0B88">
              <w:rPr>
                <w:b/>
              </w:rPr>
              <w:t>ADQUISICION DE TUBOS Y TUBERIAS PARA LOS TRABAJOS DE REPARACION DE AVERIAS Y MANTENIMIENTO EN TODOS LOS SISTEMAS DE ACUEDUCTOS Y ALCANTARILLADOS DEL INAPA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050A75"/>
    <w:rsid w:val="000B2DF0"/>
    <w:rsid w:val="00430411"/>
    <w:rsid w:val="004718F0"/>
    <w:rsid w:val="004A0908"/>
    <w:rsid w:val="00607A24"/>
    <w:rsid w:val="007C6DAA"/>
    <w:rsid w:val="00810331"/>
    <w:rsid w:val="008C0B88"/>
    <w:rsid w:val="008E0D29"/>
    <w:rsid w:val="00AB7B0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2D49A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16</cp:revision>
  <cp:lastPrinted>2025-12-09T17:19:00Z</cp:lastPrinted>
  <dcterms:created xsi:type="dcterms:W3CDTF">2025-05-15T14:55:00Z</dcterms:created>
  <dcterms:modified xsi:type="dcterms:W3CDTF">2026-05-12T15:07:00Z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