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5BFA6C39"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8C1D53" w:rsidRPr="008C1D53">
        <w:rPr>
          <w:sz w:val="22"/>
          <w:szCs w:val="22"/>
          <w:lang w:val="es-DO"/>
        </w:rPr>
        <w:t>“ADQUISICION DE SILLONES Y SILLAS DE OFICINA PARA USO DE LAS DIFERENTES AREAS DE LA INSTITUCION”</w:t>
      </w:r>
    </w:p>
    <w:p w14:paraId="2E4369BF" w14:textId="414A6BE6" w:rsidR="00465CCF" w:rsidRPr="00F8166C" w:rsidRDefault="00465CCF" w:rsidP="00B425CE">
      <w:pPr>
        <w:pStyle w:val="TDC1"/>
        <w:rPr>
          <w:bCs/>
          <w:color w:val="C00000"/>
        </w:rPr>
      </w:pPr>
      <w:r w:rsidRPr="00F8166C">
        <w:t>Referencia:</w:t>
      </w:r>
      <w:r w:rsidR="00400C36" w:rsidRPr="00F8166C">
        <w:t xml:space="preserve"> </w:t>
      </w:r>
      <w:r w:rsidR="00126CB5">
        <w:t>CONTRATACION SIMPLIFICADA</w:t>
      </w:r>
      <w:r w:rsidRPr="00F8166C">
        <w:t xml:space="preserve"> </w:t>
      </w:r>
      <w:r w:rsidR="00400C36" w:rsidRPr="00F8166C">
        <w:t>INAPA-CCC-</w:t>
      </w:r>
      <w:r w:rsidR="002B4A1E">
        <w:t>CP</w:t>
      </w:r>
      <w:r w:rsidR="00FD74A0">
        <w:t>-202</w:t>
      </w:r>
      <w:r w:rsidR="00216A80">
        <w:t>6</w:t>
      </w:r>
      <w:r w:rsidR="00FD74A0">
        <w:t>-00</w:t>
      </w:r>
      <w:r w:rsidR="008C1D53">
        <w:t>12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w:t>
      </w:r>
      <w:bookmarkStart w:id="0" w:name="_GoBack"/>
      <w:bookmarkEnd w:id="0"/>
      <w:r w:rsidRPr="004D177F">
        <w:rPr>
          <w:b/>
          <w:color w:val="800000"/>
          <w:sz w:val="22"/>
          <w:szCs w:val="22"/>
        </w:rPr>
        <w:t>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662DC999" w:rsidR="00465CCF" w:rsidRPr="004D177F" w:rsidRDefault="008C1D53" w:rsidP="0094067F">
      <w:pPr>
        <w:jc w:val="both"/>
        <w:rPr>
          <w:b/>
          <w:bCs/>
          <w:sz w:val="22"/>
          <w:szCs w:val="22"/>
        </w:rPr>
      </w:pPr>
      <w:r w:rsidRPr="008C1D53">
        <w:rPr>
          <w:b/>
        </w:rPr>
        <w:t>“ADQUISICION DE SILLONES Y SILLAS DE OFICINA PARA USO DE LAS DIFERENTES AREAS DE LA INSTITUCION”</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480315E8" w14:textId="5F20D427"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0977B5C9" w14:textId="2749B6E7" w:rsidR="00126CB5" w:rsidRDefault="00126CB5" w:rsidP="004D177F">
      <w:pPr>
        <w:jc w:val="both"/>
        <w:rPr>
          <w:sz w:val="22"/>
          <w:szCs w:val="22"/>
        </w:rPr>
      </w:pPr>
    </w:p>
    <w:tbl>
      <w:tblPr>
        <w:tblW w:w="9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828"/>
        <w:gridCol w:w="5103"/>
        <w:gridCol w:w="1701"/>
        <w:gridCol w:w="1559"/>
      </w:tblGrid>
      <w:tr w:rsidR="008C1D53" w:rsidRPr="00912A0F" w14:paraId="0B05FB4C" w14:textId="77777777" w:rsidTr="00F35C5F">
        <w:trPr>
          <w:trHeight w:val="255"/>
        </w:trPr>
        <w:tc>
          <w:tcPr>
            <w:tcW w:w="828" w:type="dxa"/>
            <w:shd w:val="clear" w:color="auto" w:fill="B4C6E7"/>
          </w:tcPr>
          <w:p w14:paraId="50AC54E9" w14:textId="77777777" w:rsidR="008C1D53" w:rsidRPr="00912A0F" w:rsidRDefault="008C1D53" w:rsidP="00F35C5F">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Ítem</w:t>
            </w:r>
          </w:p>
        </w:tc>
        <w:tc>
          <w:tcPr>
            <w:tcW w:w="5103" w:type="dxa"/>
            <w:shd w:val="clear" w:color="auto" w:fill="B4C6E7"/>
          </w:tcPr>
          <w:p w14:paraId="7E425C43" w14:textId="77777777" w:rsidR="008C1D53" w:rsidRPr="00912A0F" w:rsidRDefault="008C1D53" w:rsidP="00F35C5F">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Descripción</w:t>
            </w:r>
          </w:p>
        </w:tc>
        <w:tc>
          <w:tcPr>
            <w:tcW w:w="1701" w:type="dxa"/>
            <w:shd w:val="clear" w:color="auto" w:fill="B4C6E7"/>
          </w:tcPr>
          <w:p w14:paraId="52DA6C93" w14:textId="77777777" w:rsidR="008C1D53" w:rsidRPr="00912A0F" w:rsidRDefault="008C1D53" w:rsidP="00F35C5F">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Unidad de Medida</w:t>
            </w:r>
          </w:p>
        </w:tc>
        <w:tc>
          <w:tcPr>
            <w:tcW w:w="1559" w:type="dxa"/>
            <w:shd w:val="clear" w:color="auto" w:fill="B4C6E7"/>
          </w:tcPr>
          <w:p w14:paraId="20843585" w14:textId="77777777" w:rsidR="008C1D53" w:rsidRPr="00912A0F" w:rsidRDefault="008C1D53" w:rsidP="00F35C5F">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Cantidad Solicitada</w:t>
            </w:r>
          </w:p>
        </w:tc>
      </w:tr>
      <w:tr w:rsidR="008C1D53" w:rsidRPr="00912A0F" w14:paraId="0FF57559" w14:textId="77777777" w:rsidTr="00F35C5F">
        <w:trPr>
          <w:trHeight w:val="255"/>
        </w:trPr>
        <w:tc>
          <w:tcPr>
            <w:tcW w:w="828" w:type="dxa"/>
            <w:shd w:val="clear" w:color="auto" w:fill="auto"/>
          </w:tcPr>
          <w:p w14:paraId="7F864D20"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1</w:t>
            </w:r>
          </w:p>
        </w:tc>
        <w:tc>
          <w:tcPr>
            <w:tcW w:w="5103" w:type="dxa"/>
            <w:shd w:val="clear" w:color="auto" w:fill="auto"/>
          </w:tcPr>
          <w:p w14:paraId="5E49BF82" w14:textId="77777777" w:rsidR="008C1D53" w:rsidRPr="00912A0F" w:rsidRDefault="008C1D53" w:rsidP="00F35C5F">
            <w:pPr>
              <w:rPr>
                <w:rFonts w:ascii="Arial Narrow" w:hAnsi="Arial Narrow"/>
                <w:color w:val="000000"/>
                <w:sz w:val="20"/>
                <w:szCs w:val="20"/>
                <w:lang w:val="es-US"/>
              </w:rPr>
            </w:pPr>
            <w:r w:rsidRPr="00912A0F">
              <w:rPr>
                <w:rFonts w:ascii="Arial Narrow" w:hAnsi="Arial Narrow"/>
                <w:color w:val="000000"/>
                <w:sz w:val="20"/>
                <w:szCs w:val="20"/>
                <w:lang w:val="es-US"/>
              </w:rPr>
              <w:t>SILLÓN EJECUTIVO</w:t>
            </w:r>
          </w:p>
        </w:tc>
        <w:tc>
          <w:tcPr>
            <w:tcW w:w="1701" w:type="dxa"/>
            <w:shd w:val="clear" w:color="auto" w:fill="auto"/>
          </w:tcPr>
          <w:p w14:paraId="4E44B3DE"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3CB53D17"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30</w:t>
            </w:r>
          </w:p>
        </w:tc>
      </w:tr>
      <w:tr w:rsidR="008C1D53" w:rsidRPr="00912A0F" w14:paraId="5072B21B" w14:textId="77777777" w:rsidTr="00F35C5F">
        <w:trPr>
          <w:trHeight w:val="255"/>
        </w:trPr>
        <w:tc>
          <w:tcPr>
            <w:tcW w:w="828" w:type="dxa"/>
            <w:shd w:val="clear" w:color="auto" w:fill="auto"/>
          </w:tcPr>
          <w:p w14:paraId="56A39094"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2</w:t>
            </w:r>
          </w:p>
        </w:tc>
        <w:tc>
          <w:tcPr>
            <w:tcW w:w="5103" w:type="dxa"/>
            <w:shd w:val="clear" w:color="auto" w:fill="auto"/>
          </w:tcPr>
          <w:p w14:paraId="5BEE4EE9" w14:textId="77777777" w:rsidR="008C1D53" w:rsidRPr="00912A0F" w:rsidRDefault="008C1D53" w:rsidP="00F35C5F">
            <w:pPr>
              <w:rPr>
                <w:rFonts w:ascii="Arial Narrow" w:hAnsi="Arial Narrow"/>
                <w:color w:val="000000"/>
                <w:sz w:val="20"/>
                <w:szCs w:val="20"/>
                <w:lang w:val="es-US"/>
              </w:rPr>
            </w:pPr>
            <w:r w:rsidRPr="00912A0F">
              <w:rPr>
                <w:rFonts w:ascii="Arial Narrow" w:hAnsi="Arial Narrow"/>
                <w:color w:val="000000"/>
                <w:sz w:val="20"/>
                <w:szCs w:val="20"/>
                <w:lang w:val="es-US"/>
              </w:rPr>
              <w:t>SILLON SEMI EJECUTIVO</w:t>
            </w:r>
          </w:p>
        </w:tc>
        <w:tc>
          <w:tcPr>
            <w:tcW w:w="1701" w:type="dxa"/>
            <w:shd w:val="clear" w:color="auto" w:fill="auto"/>
          </w:tcPr>
          <w:p w14:paraId="605635FB"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6661C941"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75</w:t>
            </w:r>
          </w:p>
        </w:tc>
      </w:tr>
      <w:tr w:rsidR="008C1D53" w:rsidRPr="00912A0F" w14:paraId="08A5845C" w14:textId="77777777" w:rsidTr="00F35C5F">
        <w:trPr>
          <w:trHeight w:val="255"/>
        </w:trPr>
        <w:tc>
          <w:tcPr>
            <w:tcW w:w="828" w:type="dxa"/>
            <w:shd w:val="clear" w:color="auto" w:fill="auto"/>
          </w:tcPr>
          <w:p w14:paraId="5B279A70"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3</w:t>
            </w:r>
          </w:p>
        </w:tc>
        <w:tc>
          <w:tcPr>
            <w:tcW w:w="5103" w:type="dxa"/>
            <w:shd w:val="clear" w:color="auto" w:fill="auto"/>
          </w:tcPr>
          <w:p w14:paraId="195C925B" w14:textId="77777777" w:rsidR="008C1D53" w:rsidRPr="00912A0F" w:rsidRDefault="008C1D53" w:rsidP="00F35C5F">
            <w:pPr>
              <w:rPr>
                <w:rFonts w:ascii="Arial Narrow" w:hAnsi="Arial Narrow"/>
                <w:color w:val="000000"/>
                <w:sz w:val="20"/>
                <w:szCs w:val="20"/>
                <w:lang w:val="es-US"/>
              </w:rPr>
            </w:pPr>
            <w:r w:rsidRPr="009F46AE">
              <w:rPr>
                <w:rFonts w:ascii="Arial Narrow" w:hAnsi="Arial Narrow"/>
                <w:color w:val="000000"/>
                <w:sz w:val="20"/>
                <w:szCs w:val="20"/>
                <w:lang w:val="es-US"/>
              </w:rPr>
              <w:t>SILLA SECRETARIAL SIN BRAZOS</w:t>
            </w:r>
          </w:p>
        </w:tc>
        <w:tc>
          <w:tcPr>
            <w:tcW w:w="1701" w:type="dxa"/>
            <w:shd w:val="clear" w:color="auto" w:fill="auto"/>
          </w:tcPr>
          <w:p w14:paraId="0F677478"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0EEBD70B"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52</w:t>
            </w:r>
          </w:p>
        </w:tc>
      </w:tr>
      <w:tr w:rsidR="008C1D53" w:rsidRPr="00912A0F" w14:paraId="37FF0D31" w14:textId="77777777" w:rsidTr="00F35C5F">
        <w:trPr>
          <w:trHeight w:val="255"/>
        </w:trPr>
        <w:tc>
          <w:tcPr>
            <w:tcW w:w="828" w:type="dxa"/>
            <w:shd w:val="clear" w:color="auto" w:fill="auto"/>
          </w:tcPr>
          <w:p w14:paraId="50D37C36"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4</w:t>
            </w:r>
          </w:p>
        </w:tc>
        <w:tc>
          <w:tcPr>
            <w:tcW w:w="5103" w:type="dxa"/>
            <w:shd w:val="clear" w:color="auto" w:fill="auto"/>
          </w:tcPr>
          <w:p w14:paraId="5C5105B2" w14:textId="77777777" w:rsidR="008C1D53" w:rsidRPr="00912A0F" w:rsidRDefault="008C1D53" w:rsidP="00F35C5F">
            <w:pPr>
              <w:rPr>
                <w:rFonts w:ascii="Arial Narrow" w:hAnsi="Arial Narrow"/>
                <w:color w:val="000000"/>
                <w:sz w:val="20"/>
                <w:szCs w:val="20"/>
                <w:lang w:val="es-US"/>
              </w:rPr>
            </w:pPr>
            <w:r w:rsidRPr="009F46AE">
              <w:rPr>
                <w:rFonts w:ascii="Arial Narrow" w:hAnsi="Arial Narrow"/>
                <w:color w:val="000000"/>
                <w:sz w:val="20"/>
                <w:szCs w:val="20"/>
                <w:lang w:val="es-US"/>
              </w:rPr>
              <w:t>SILLAS TECNICAS OPERATIVAS</w:t>
            </w:r>
          </w:p>
        </w:tc>
        <w:tc>
          <w:tcPr>
            <w:tcW w:w="1701" w:type="dxa"/>
            <w:shd w:val="clear" w:color="auto" w:fill="auto"/>
          </w:tcPr>
          <w:p w14:paraId="2B5474F4"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62176EB5" w14:textId="77777777" w:rsidR="008C1D53" w:rsidRPr="00912A0F" w:rsidRDefault="008C1D53" w:rsidP="00F35C5F">
            <w:pPr>
              <w:jc w:val="center"/>
              <w:rPr>
                <w:rFonts w:ascii="Arial Narrow" w:hAnsi="Arial Narrow"/>
                <w:color w:val="000000"/>
                <w:sz w:val="20"/>
                <w:szCs w:val="20"/>
                <w:lang w:val="es-US"/>
              </w:rPr>
            </w:pPr>
            <w:r w:rsidRPr="00912A0F">
              <w:rPr>
                <w:rFonts w:ascii="Arial Narrow" w:hAnsi="Arial Narrow"/>
                <w:color w:val="000000"/>
                <w:sz w:val="20"/>
                <w:szCs w:val="20"/>
                <w:lang w:val="es-US"/>
              </w:rPr>
              <w:t>155</w:t>
            </w:r>
          </w:p>
        </w:tc>
      </w:tr>
    </w:tbl>
    <w:p w14:paraId="3EDC01FE" w14:textId="4AF019F0" w:rsidR="0059643D" w:rsidRPr="004D177F" w:rsidRDefault="0059643D" w:rsidP="004D177F">
      <w:pPr>
        <w:pStyle w:val="Prrafodelista"/>
        <w:ind w:left="0"/>
        <w:rPr>
          <w:sz w:val="22"/>
          <w:szCs w:val="22"/>
        </w:rPr>
      </w:pPr>
    </w:p>
    <w:p w14:paraId="14865B3A" w14:textId="6B662CC2" w:rsidR="00465CCF" w:rsidRPr="002B4A1E"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w:t>
      </w:r>
      <w:r w:rsidR="00465CCF" w:rsidRPr="002B4A1E">
        <w:rPr>
          <w:sz w:val="22"/>
          <w:szCs w:val="22"/>
        </w:rPr>
        <w:t xml:space="preserve">desarrollarán en </w:t>
      </w:r>
      <w:r w:rsidR="00400C36" w:rsidRPr="002B4A1E">
        <w:rPr>
          <w:sz w:val="22"/>
          <w:szCs w:val="22"/>
        </w:rPr>
        <w:t>el Almacén del INAPA, ubicado en el Kilómetro 18 de la Autopista Duarte en la ciudad de Santo Domingo</w:t>
      </w:r>
      <w:r w:rsidR="00465CCF" w:rsidRPr="002B4A1E">
        <w:rPr>
          <w:b/>
          <w:color w:val="800000"/>
          <w:sz w:val="22"/>
          <w:szCs w:val="22"/>
        </w:rPr>
        <w:t>.</w:t>
      </w:r>
    </w:p>
    <w:p w14:paraId="01666A56" w14:textId="77777777" w:rsidR="00465CCF" w:rsidRPr="002B4A1E" w:rsidRDefault="00465CCF" w:rsidP="004D177F">
      <w:pPr>
        <w:pStyle w:val="Prrafodelista"/>
        <w:ind w:left="0"/>
        <w:jc w:val="both"/>
        <w:rPr>
          <w:b/>
          <w:bCs/>
          <w:sz w:val="22"/>
          <w:szCs w:val="22"/>
        </w:rPr>
      </w:pPr>
    </w:p>
    <w:p w14:paraId="1FC93B56" w14:textId="024C18A8" w:rsidR="00F21B89" w:rsidRPr="002B4A1E" w:rsidRDefault="00305F17" w:rsidP="004D177F">
      <w:pPr>
        <w:jc w:val="both"/>
        <w:rPr>
          <w:sz w:val="22"/>
          <w:szCs w:val="22"/>
        </w:rPr>
      </w:pPr>
      <w:r w:rsidRPr="002B4A1E">
        <w:rPr>
          <w:b/>
          <w:bCs/>
          <w:sz w:val="22"/>
          <w:szCs w:val="22"/>
        </w:rPr>
        <w:t xml:space="preserve">Artículo 4. </w:t>
      </w:r>
      <w:r w:rsidR="00C2117A" w:rsidRPr="002B4A1E">
        <w:rPr>
          <w:b/>
          <w:bCs/>
          <w:sz w:val="22"/>
          <w:szCs w:val="22"/>
        </w:rPr>
        <w:t xml:space="preserve">Plazo </w:t>
      </w:r>
      <w:r w:rsidR="002A7107" w:rsidRPr="002B4A1E">
        <w:rPr>
          <w:b/>
          <w:bCs/>
          <w:sz w:val="22"/>
          <w:szCs w:val="22"/>
        </w:rPr>
        <w:t>de entrega de los bienes</w:t>
      </w:r>
      <w:r w:rsidR="00465CCF" w:rsidRPr="002B4A1E">
        <w:rPr>
          <w:b/>
          <w:bCs/>
          <w:sz w:val="22"/>
          <w:szCs w:val="22"/>
        </w:rPr>
        <w:t xml:space="preserve">. </w:t>
      </w:r>
      <w:r w:rsidR="00465CCF" w:rsidRPr="002B4A1E">
        <w:rPr>
          <w:sz w:val="22"/>
          <w:szCs w:val="22"/>
        </w:rPr>
        <w:t xml:space="preserve">El plazo de </w:t>
      </w:r>
      <w:r w:rsidR="002A7107" w:rsidRPr="002B4A1E">
        <w:rPr>
          <w:sz w:val="22"/>
          <w:szCs w:val="22"/>
        </w:rPr>
        <w:t xml:space="preserve">entrega de los bienes objeto </w:t>
      </w:r>
      <w:r w:rsidR="00465CCF" w:rsidRPr="002B4A1E">
        <w:rPr>
          <w:sz w:val="22"/>
          <w:szCs w:val="22"/>
        </w:rPr>
        <w:t xml:space="preserve">del presente contrato </w:t>
      </w:r>
      <w:r w:rsidR="00F370CF" w:rsidRPr="002B4A1E">
        <w:rPr>
          <w:sz w:val="22"/>
          <w:szCs w:val="22"/>
        </w:rPr>
        <w:t>de un inicio no mayor a treinta (</w:t>
      </w:r>
      <w:r w:rsidR="002B4A1E" w:rsidRPr="002B4A1E">
        <w:rPr>
          <w:sz w:val="22"/>
          <w:szCs w:val="22"/>
        </w:rPr>
        <w:t>30</w:t>
      </w:r>
      <w:r w:rsidR="00F370CF" w:rsidRPr="002B4A1E">
        <w:rPr>
          <w:sz w:val="22"/>
          <w:szCs w:val="22"/>
        </w:rPr>
        <w:t>)</w:t>
      </w:r>
      <w:r w:rsidR="002B4A1E" w:rsidRPr="002B4A1E">
        <w:rPr>
          <w:sz w:val="22"/>
          <w:szCs w:val="22"/>
        </w:rPr>
        <w:t xml:space="preserve"> y que no exceda los sesenta (60) días</w:t>
      </w:r>
      <w:r w:rsidR="00F370CF" w:rsidRPr="002B4A1E">
        <w:rPr>
          <w:sz w:val="22"/>
          <w:szCs w:val="22"/>
        </w:rPr>
        <w:t xml:space="preserve">, </w:t>
      </w:r>
      <w:r w:rsidR="00465CCF" w:rsidRPr="002B4A1E">
        <w:rPr>
          <w:sz w:val="22"/>
          <w:szCs w:val="22"/>
        </w:rPr>
        <w:t xml:space="preserve">que iniciarán luego de su perfeccionamiento conforme al artículo </w:t>
      </w:r>
      <w:r w:rsidR="00C2117A" w:rsidRPr="002B4A1E">
        <w:rPr>
          <w:sz w:val="22"/>
          <w:szCs w:val="22"/>
        </w:rPr>
        <w:t>2</w:t>
      </w:r>
      <w:r w:rsidR="007A46B6" w:rsidRPr="002B4A1E">
        <w:rPr>
          <w:sz w:val="22"/>
          <w:szCs w:val="22"/>
        </w:rPr>
        <w:t>0</w:t>
      </w:r>
      <w:r w:rsidR="00C2117A" w:rsidRPr="002B4A1E">
        <w:rPr>
          <w:sz w:val="22"/>
          <w:szCs w:val="22"/>
        </w:rPr>
        <w:t xml:space="preserve"> </w:t>
      </w:r>
      <w:r w:rsidR="00465CCF" w:rsidRPr="002B4A1E">
        <w:rPr>
          <w:sz w:val="22"/>
          <w:szCs w:val="22"/>
        </w:rPr>
        <w:t xml:space="preserve">del presente contrato y contados a partir </w:t>
      </w:r>
      <w:r w:rsidR="007A46B6" w:rsidRPr="002B4A1E">
        <w:rPr>
          <w:sz w:val="22"/>
          <w:szCs w:val="22"/>
        </w:rPr>
        <w:t>del registro y certificación del contrato por ante la Contraloría General de la República</w:t>
      </w:r>
      <w:r w:rsidR="00F21B89" w:rsidRPr="002B4A1E">
        <w:rPr>
          <w:sz w:val="22"/>
          <w:szCs w:val="22"/>
        </w:rPr>
        <w:t xml:space="preserve"> (En Caso de ser un adjudicatario certificado MYPYME el plazo para el inicio de la entrega de los bienes será a partir del pago del anticipo que asciende a un (30%) del valor adjudicado)</w:t>
      </w:r>
      <w:r w:rsidR="00465CCF" w:rsidRPr="002B4A1E">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12610FBC"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r w:rsidR="002B4A1E" w:rsidRPr="004D177F">
        <w:rPr>
          <w:b/>
          <w:color w:val="800000"/>
          <w:sz w:val="22"/>
          <w:szCs w:val="22"/>
        </w:rPr>
        <w:t>]</w:t>
      </w:r>
      <w:r w:rsidR="002B4A1E">
        <w:rPr>
          <w:b/>
          <w:color w:val="800000"/>
          <w:sz w:val="22"/>
          <w:szCs w:val="22"/>
        </w:rPr>
        <w:t xml:space="preserve">, </w:t>
      </w:r>
      <w:r w:rsidR="002B4A1E" w:rsidRPr="00F21B89">
        <w:rPr>
          <w:sz w:val="22"/>
          <w:szCs w:val="22"/>
        </w:rPr>
        <w:t>en</w:t>
      </w:r>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96C4363"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8C1D53" w:rsidRPr="008C1D53">
        <w:rPr>
          <w:b/>
        </w:rPr>
        <w:t>“ADQUISICION DE SILLONES Y SILLAS DE OFICINA PARA USO DE LAS DIFERENTES AREAS DE LA INSTITUCION”</w:t>
      </w:r>
      <w:r w:rsidR="008C1D53">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2B4A1E">
        <w:rPr>
          <w:b/>
          <w:sz w:val="22"/>
          <w:szCs w:val="22"/>
        </w:rPr>
        <w:t>CP</w:t>
      </w:r>
      <w:r w:rsidR="005A3113">
        <w:rPr>
          <w:b/>
          <w:sz w:val="22"/>
          <w:szCs w:val="22"/>
        </w:rPr>
        <w:t>-202</w:t>
      </w:r>
      <w:r w:rsidR="00550767">
        <w:rPr>
          <w:b/>
          <w:sz w:val="22"/>
          <w:szCs w:val="22"/>
        </w:rPr>
        <w:t>6</w:t>
      </w:r>
      <w:r w:rsidR="005A3113">
        <w:rPr>
          <w:b/>
          <w:sz w:val="22"/>
          <w:szCs w:val="22"/>
        </w:rPr>
        <w:t>-00</w:t>
      </w:r>
      <w:r w:rsidR="008C1D53">
        <w:rPr>
          <w:b/>
          <w:sz w:val="22"/>
          <w:szCs w:val="22"/>
        </w:rPr>
        <w:t>12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lastRenderedPageBreak/>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w:t>
      </w:r>
      <w:r w:rsidR="00C11D26" w:rsidRPr="004D177F">
        <w:rPr>
          <w:bCs/>
          <w:color w:val="000000" w:themeColor="text1"/>
          <w:sz w:val="22"/>
          <w:szCs w:val="22"/>
        </w:rPr>
        <w:lastRenderedPageBreak/>
        <w:t>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577E3" w14:textId="77777777" w:rsidR="00C77311" w:rsidRDefault="00C77311" w:rsidP="00465CCF">
      <w:r>
        <w:separator/>
      </w:r>
    </w:p>
  </w:endnote>
  <w:endnote w:type="continuationSeparator" w:id="0">
    <w:p w14:paraId="2D6C128B" w14:textId="77777777" w:rsidR="00C77311" w:rsidRDefault="00C7731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C018FFA"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C1D53">
              <w:rPr>
                <w:b/>
                <w:bCs/>
                <w:noProof/>
                <w:sz w:val="20"/>
                <w:szCs w:val="20"/>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C1D5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B3412" w14:textId="77777777" w:rsidR="00C77311" w:rsidRDefault="00C77311" w:rsidP="00465CCF">
      <w:r>
        <w:separator/>
      </w:r>
    </w:p>
  </w:footnote>
  <w:footnote w:type="continuationSeparator" w:id="0">
    <w:p w14:paraId="5CB55DCA" w14:textId="77777777" w:rsidR="00C77311" w:rsidRDefault="00C7731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26CB5"/>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4A1E"/>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085C"/>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C1D53"/>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77311"/>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A316D"/>
    <w:rsid w:val="00FB37BD"/>
    <w:rsid w:val="00FB5DA0"/>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B517-9078-49D7-9674-F5A9A9A5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6276</Words>
  <Characters>35779</Characters>
  <Application>Microsoft Office Word</Application>
  <DocSecurity>0</DocSecurity>
  <Lines>298</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4</cp:revision>
  <cp:lastPrinted>2024-03-19T13:17:00Z</cp:lastPrinted>
  <dcterms:created xsi:type="dcterms:W3CDTF">2026-04-20T15:04:00Z</dcterms:created>
  <dcterms:modified xsi:type="dcterms:W3CDTF">2026-05-28T14:22:00Z</dcterms:modified>
</cp:coreProperties>
</file>