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FA64" w14:textId="18E2A364" w:rsidR="00C2117A" w:rsidRPr="0070240D" w:rsidRDefault="00C2117A" w:rsidP="00C2117A">
      <w:pPr>
        <w:autoSpaceDE w:val="0"/>
        <w:autoSpaceDN w:val="0"/>
        <w:jc w:val="center"/>
        <w:rPr>
          <w:b/>
          <w:bCs/>
        </w:rPr>
      </w:pPr>
      <w:bookmarkStart w:id="0" w:name="_Hlk117807582"/>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DC1"/>
        <w:rPr>
          <w:highlight w:val="yellow"/>
        </w:rPr>
      </w:pPr>
    </w:p>
    <w:p w14:paraId="280A4D47" w14:textId="01944CF8" w:rsidR="00465CCF" w:rsidRPr="0070240D" w:rsidRDefault="00465CCF" w:rsidP="00C2117A">
      <w:pPr>
        <w:pStyle w:val="TDC1"/>
        <w:rPr>
          <w:bCs/>
          <w:color w:val="C00000"/>
        </w:rPr>
      </w:pPr>
      <w:r w:rsidRPr="00025799">
        <w:lastRenderedPageBreak/>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70240D">
        <w:t>PARA [</w:t>
      </w:r>
      <w:r w:rsidRPr="00025799">
        <w:t xml:space="preserve">Describir el </w:t>
      </w:r>
      <w:r w:rsidR="00563602" w:rsidRPr="00025799">
        <w:t>bien</w:t>
      </w:r>
      <w:r w:rsidRPr="00025799">
        <w:t>]</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117E26AC" w:rsidR="00465CCF" w:rsidRPr="00025799" w:rsidRDefault="00465CCF" w:rsidP="00465CCF">
      <w:pPr>
        <w:jc w:val="center"/>
        <w:rPr>
          <w:b/>
          <w:bCs/>
          <w:color w:val="0000FF"/>
          <w:lang w:eastAsia="en-US"/>
        </w:rPr>
      </w:pPr>
      <w:r w:rsidRPr="00025799">
        <w:rPr>
          <w:b/>
          <w:bCs/>
          <w:color w:val="0000FF"/>
          <w:lang w:eastAsia="en-US"/>
        </w:rPr>
        <w:t xml:space="preserve">CONTRATO DE </w:t>
      </w:r>
      <w:r w:rsidR="00B600CD" w:rsidRPr="00025799">
        <w:rPr>
          <w:b/>
          <w:bCs/>
          <w:color w:val="0000FF"/>
          <w:lang w:eastAsia="en-US"/>
        </w:rPr>
        <w:t>ADQUISI</w:t>
      </w:r>
      <w:r w:rsidR="00C2117A" w:rsidRPr="00025799">
        <w:rPr>
          <w:b/>
          <w:bCs/>
          <w:color w:val="0000FF"/>
          <w:lang w:eastAsia="en-US"/>
        </w:rPr>
        <w:t>C</w:t>
      </w:r>
      <w:r w:rsidRPr="00025799">
        <w:rPr>
          <w:b/>
          <w:bCs/>
          <w:color w:val="0000FF"/>
          <w:lang w:eastAsia="en-US"/>
        </w:rPr>
        <w:t xml:space="preserve">IÓN DE </w:t>
      </w:r>
      <w:r w:rsidR="00563602" w:rsidRPr="00025799">
        <w:rPr>
          <w:b/>
          <w:bCs/>
          <w:color w:val="0000FF"/>
          <w:lang w:eastAsia="en-US"/>
        </w:rPr>
        <w:t>BIENES</w:t>
      </w:r>
      <w:r w:rsidRPr="00025799">
        <w:rPr>
          <w:b/>
          <w:bCs/>
          <w:color w:val="0000FF"/>
          <w:lang w:eastAsia="en-US"/>
        </w:rPr>
        <w:t xml:space="preserve"> NÚM. 2-2023 PARA </w:t>
      </w:r>
      <w:r w:rsidR="00563602" w:rsidRPr="00025799">
        <w:rPr>
          <w:b/>
          <w:bCs/>
          <w:color w:val="0000FF"/>
          <w:lang w:eastAsia="en-US"/>
        </w:rPr>
        <w:t>LA</w:t>
      </w:r>
    </w:p>
    <w:p w14:paraId="1A6D39F7" w14:textId="4636A201" w:rsidR="00465CCF" w:rsidRPr="0070240D" w:rsidRDefault="00465CCF" w:rsidP="00465CCF">
      <w:pPr>
        <w:jc w:val="center"/>
        <w:rPr>
          <w:b/>
          <w:bCs/>
          <w:color w:val="0000FF"/>
          <w:lang w:eastAsia="en-US"/>
        </w:rPr>
      </w:pPr>
      <w:r w:rsidRPr="00025799">
        <w:rPr>
          <w:b/>
          <w:bCs/>
          <w:color w:val="0000FF"/>
          <w:lang w:eastAsia="en-US"/>
        </w:rPr>
        <w:t>“</w:t>
      </w:r>
      <w:r w:rsidR="00563602" w:rsidRPr="00025799">
        <w:rPr>
          <w:b/>
          <w:bCs/>
          <w:color w:val="0000FF"/>
          <w:lang w:eastAsia="en-US"/>
        </w:rPr>
        <w:t>ADQUISISC</w:t>
      </w:r>
      <w:r w:rsidR="00B600CD" w:rsidRPr="00025799">
        <w:rPr>
          <w:b/>
          <w:bCs/>
          <w:color w:val="0000FF"/>
          <w:lang w:eastAsia="en-US"/>
        </w:rPr>
        <w:t>IÓN</w:t>
      </w:r>
      <w:r w:rsidR="004234A4" w:rsidRPr="00025799">
        <w:rPr>
          <w:b/>
          <w:bCs/>
          <w:color w:val="0000FF"/>
          <w:lang w:eastAsia="en-US"/>
        </w:rPr>
        <w:t xml:space="preserve"> </w:t>
      </w:r>
      <w:r w:rsidR="00563602" w:rsidRPr="00025799">
        <w:rPr>
          <w:b/>
          <w:bCs/>
          <w:color w:val="0000FF"/>
          <w:lang w:eastAsia="en-US"/>
        </w:rPr>
        <w:t>MOBILIARIOS DE OFICINAS PARA SER UTILIZADO EN LA SEDE CENTRAL DE LA ISNTITUC</w:t>
      </w:r>
      <w:r w:rsidR="00B600CD" w:rsidRPr="00025799">
        <w:rPr>
          <w:b/>
          <w:bCs/>
          <w:color w:val="0000FF"/>
          <w:lang w:eastAsia="en-US"/>
        </w:rPr>
        <w:t>IÓN</w:t>
      </w:r>
      <w:r w:rsidRPr="00025799">
        <w:rPr>
          <w:b/>
          <w:bCs/>
          <w:color w:val="0000FF"/>
          <w:lang w:eastAsia="en-US"/>
        </w:rPr>
        <w:t>”</w:t>
      </w:r>
      <w:r w:rsidRPr="0070240D">
        <w:rPr>
          <w:b/>
          <w:bCs/>
          <w:color w:val="0000FF"/>
          <w:lang w:eastAsia="en-US"/>
        </w:rPr>
        <w:t xml:space="preserve">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272557E1" w14:textId="2A8658D9"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Pr="004D177F">
        <w:rPr>
          <w:b/>
          <w:color w:val="800000"/>
          <w:sz w:val="22"/>
          <w:szCs w:val="22"/>
        </w:rPr>
        <w:t>[indicar nombre de la institución contratante]</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Pr="004D177F">
        <w:rPr>
          <w:b/>
          <w:sz w:val="22"/>
          <w:szCs w:val="22"/>
        </w:rPr>
        <w:t xml:space="preserve">LA INSTITUCIÓN CONTRATANTE”, </w:t>
      </w:r>
      <w:r w:rsidRPr="004D177F">
        <w:rPr>
          <w:sz w:val="22"/>
          <w:szCs w:val="22"/>
        </w:rPr>
        <w:t xml:space="preserve">o por su nombre completo o por sus siglas </w:t>
      </w:r>
      <w:r w:rsidRPr="004D177F">
        <w:rPr>
          <w:b/>
          <w:color w:val="800000"/>
          <w:sz w:val="22"/>
          <w:szCs w:val="22"/>
        </w:rPr>
        <w:t>“[indicar siglas de la institución]”</w:t>
      </w:r>
      <w:r w:rsidRPr="004D177F">
        <w:rPr>
          <w:bCs/>
          <w:sz w:val="22"/>
          <w:szCs w:val="22"/>
        </w:rPr>
        <w:t>, 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w:t>
      </w:r>
      <w:r w:rsidRPr="004D177F">
        <w:rPr>
          <w:sz w:val="22"/>
          <w:szCs w:val="22"/>
        </w:rPr>
        <w:lastRenderedPageBreak/>
        <w:t>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751C8C70" w14:textId="77777777" w:rsidR="00465CCF" w:rsidRPr="004D177F" w:rsidRDefault="00465CCF" w:rsidP="004D177F">
      <w:pPr>
        <w:rPr>
          <w:b/>
          <w:bCs/>
          <w:sz w:val="22"/>
          <w:szCs w:val="22"/>
        </w:rPr>
      </w:pPr>
    </w:p>
    <w:p w14:paraId="1568D2DA" w14:textId="77777777" w:rsidR="00305F17" w:rsidRPr="004D177F" w:rsidRDefault="00465CCF" w:rsidP="004D177F">
      <w:pPr>
        <w:jc w:val="both"/>
        <w:rPr>
          <w:b/>
          <w:iCs/>
          <w:noProof/>
          <w:color w:val="00B050"/>
          <w:sz w:val="22"/>
          <w:szCs w:val="22"/>
          <w:lang w:val="es-ES_tradnl" w:eastAsia="es-DO"/>
        </w:rPr>
      </w:pPr>
      <w:r w:rsidRPr="004D177F">
        <w:rPr>
          <w:b/>
          <w:iCs/>
          <w:noProof/>
          <w:color w:val="00B050"/>
          <w:sz w:val="22"/>
          <w:szCs w:val="22"/>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77777777" w:rsidR="00465CCF" w:rsidRPr="004D177F" w:rsidRDefault="00465CCF" w:rsidP="004D177F">
      <w:pPr>
        <w:jc w:val="both"/>
        <w:rPr>
          <w:b/>
          <w:color w:val="0000FF"/>
          <w:sz w:val="22"/>
          <w:szCs w:val="22"/>
        </w:rPr>
      </w:pPr>
      <w:r w:rsidRPr="004D177F">
        <w:rPr>
          <w:b/>
          <w:bCs/>
          <w:color w:val="0000FF"/>
          <w:sz w:val="22"/>
          <w:szCs w:val="22"/>
        </w:rPr>
        <w:t xml:space="preserve">POR CUANTO (6): </w:t>
      </w:r>
      <w:r w:rsidRPr="004D177F">
        <w:rPr>
          <w:color w:val="0000FF"/>
          <w:sz w:val="22"/>
          <w:szCs w:val="22"/>
        </w:rPr>
        <w:t>Que en fecha</w:t>
      </w:r>
      <w:r w:rsidRPr="004D177F">
        <w:rPr>
          <w:b/>
          <w:bCs/>
          <w:color w:val="0000FF"/>
          <w:sz w:val="22"/>
          <w:szCs w:val="22"/>
        </w:rPr>
        <w:t xml:space="preserve"> </w:t>
      </w:r>
      <w:r w:rsidRPr="004D177F">
        <w:rPr>
          <w:b/>
          <w:color w:val="0000FF"/>
          <w:sz w:val="22"/>
          <w:szCs w:val="22"/>
        </w:rPr>
        <w:t xml:space="preserve">[ indicar día, mes y año], [indicar nombre de la institución contratante], </w:t>
      </w:r>
      <w:r w:rsidRPr="004D177F">
        <w:rPr>
          <w:color w:val="0000FF"/>
          <w:sz w:val="22"/>
          <w:szCs w:val="22"/>
        </w:rPr>
        <w:t>LA INSTITUCIÓN CONTRATANTE, convocó a través</w:t>
      </w:r>
      <w:r w:rsidRPr="004D177F">
        <w:rPr>
          <w:b/>
          <w:bCs/>
          <w:color w:val="0000FF"/>
          <w:sz w:val="22"/>
          <w:szCs w:val="22"/>
        </w:rPr>
        <w:t xml:space="preserve"> </w:t>
      </w:r>
      <w:r w:rsidRPr="004D177F">
        <w:rPr>
          <w:color w:val="0000FF"/>
          <w:sz w:val="22"/>
          <w:szCs w:val="22"/>
        </w:rPr>
        <w:t>Sistema Electrónico de Contrataciones Públicas (SECP) y su portal institucional</w:t>
      </w:r>
      <w:r w:rsidRPr="004D177F">
        <w:rPr>
          <w:rStyle w:val="Refdenotaalpie"/>
          <w:color w:val="0000FF"/>
          <w:sz w:val="22"/>
          <w:szCs w:val="22"/>
        </w:rPr>
        <w:footnoteReference w:id="3"/>
      </w:r>
      <w:r w:rsidRPr="004D177F">
        <w:rPr>
          <w:b/>
          <w:bCs/>
          <w:color w:val="0000FF"/>
          <w:sz w:val="22"/>
          <w:szCs w:val="22"/>
        </w:rPr>
        <w:t xml:space="preserve"> </w:t>
      </w:r>
      <w:r w:rsidRPr="004D177F">
        <w:rPr>
          <w:color w:val="0000FF"/>
          <w:sz w:val="22"/>
          <w:szCs w:val="22"/>
        </w:rPr>
        <w:t xml:space="preserve">a personas naturales y jurídicas a participar y presentar ofertas en el procedimiento, </w:t>
      </w:r>
      <w:r w:rsidRPr="004D177F">
        <w:rPr>
          <w:b/>
          <w:color w:val="0000FF"/>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77777777"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(7):</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w:t>
      </w:r>
      <w:r w:rsidRPr="004D177F">
        <w:rPr>
          <w:i/>
          <w:color w:val="0000FF"/>
          <w:sz w:val="22"/>
          <w:szCs w:val="22"/>
          <w:lang w:val="es-ES"/>
        </w:rPr>
        <w:t>recepción de las Ofertas, Técnicas “Sobre A” y Económicas “Sobre B</w:t>
      </w:r>
      <w:r w:rsidRPr="004D177F">
        <w:rPr>
          <w:color w:val="0000FF"/>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71638B61"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(8):</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4D177F" w:rsidRDefault="00465CCF" w:rsidP="004D177F">
      <w:pPr>
        <w:jc w:val="both"/>
        <w:rPr>
          <w:color w:val="0000FF"/>
          <w:sz w:val="22"/>
          <w:szCs w:val="22"/>
          <w:lang w:val="es-ES"/>
        </w:rPr>
      </w:pPr>
    </w:p>
    <w:p w14:paraId="5C3F552E"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(9)</w:t>
      </w:r>
      <w:r w:rsidRPr="004D177F">
        <w:rPr>
          <w:color w:val="0000FF"/>
          <w:sz w:val="22"/>
          <w:szCs w:val="22"/>
          <w:lang w:val="es-ES"/>
        </w:rPr>
        <w:t xml:space="preserve">: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053232D9" w:rsidR="00465CCF" w:rsidRPr="004D177F" w:rsidRDefault="00465CCF" w:rsidP="004D177F">
      <w:pPr>
        <w:jc w:val="both"/>
        <w:rPr>
          <w:b/>
          <w:color w:val="0000FF"/>
          <w:sz w:val="22"/>
          <w:szCs w:val="22"/>
          <w:lang w:val="es-ES"/>
        </w:rPr>
      </w:pPr>
      <w:r w:rsidRPr="004D177F">
        <w:rPr>
          <w:b/>
          <w:bCs/>
          <w:color w:val="0000FF"/>
          <w:sz w:val="22"/>
          <w:szCs w:val="22"/>
          <w:lang w:val="es-ES"/>
        </w:rPr>
        <w:t>POR CUANTO (10):</w:t>
      </w:r>
      <w:r w:rsidRPr="004D177F">
        <w:rPr>
          <w:bCs/>
          <w:color w:val="0000FF"/>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4D177F">
        <w:rPr>
          <w:b/>
          <w:color w:val="0000FF"/>
          <w:sz w:val="22"/>
          <w:szCs w:val="22"/>
        </w:rPr>
        <w:t>[indicar día, mes y año]</w:t>
      </w:r>
      <w:r w:rsidRPr="004D177F">
        <w:rPr>
          <w:bCs/>
          <w:color w:val="0000FF"/>
          <w:sz w:val="22"/>
          <w:szCs w:val="22"/>
        </w:rPr>
        <w:t xml:space="preserve">. Dicho </w:t>
      </w:r>
      <w:r w:rsidRPr="004D177F">
        <w:rPr>
          <w:bCs/>
          <w:color w:val="0000FF"/>
          <w:sz w:val="22"/>
          <w:szCs w:val="22"/>
          <w:lang w:val="es-ES"/>
        </w:rPr>
        <w:t xml:space="preserve">informe que fue aprobado por el Comité de Compras y Contrataciones de </w:t>
      </w:r>
      <w:r w:rsidRPr="004D177F">
        <w:rPr>
          <w:b/>
          <w:color w:val="0000FF"/>
          <w:sz w:val="22"/>
          <w:szCs w:val="22"/>
        </w:rPr>
        <w:t>LA INSTITUCIÓN CONTRATANTE</w:t>
      </w:r>
      <w:r w:rsidRPr="004D177F">
        <w:rPr>
          <w:color w:val="0000FF"/>
          <w:sz w:val="22"/>
          <w:szCs w:val="22"/>
          <w:lang w:val="es-ES"/>
        </w:rPr>
        <w:t>, mediante</w:t>
      </w:r>
      <w:r w:rsidRPr="004D177F">
        <w:rPr>
          <w:b/>
          <w:color w:val="0000FF"/>
          <w:sz w:val="22"/>
          <w:szCs w:val="22"/>
        </w:rPr>
        <w:t xml:space="preserve"> [indicarla referencia del acto administrativo]</w:t>
      </w:r>
      <w:r w:rsidRPr="004D177F">
        <w:rPr>
          <w:bCs/>
          <w:color w:val="0000FF"/>
          <w:sz w:val="22"/>
          <w:szCs w:val="22"/>
          <w:lang w:val="es-ES"/>
        </w:rPr>
        <w:t xml:space="preserve"> de fecha </w:t>
      </w:r>
      <w:r w:rsidRPr="004D177F">
        <w:rPr>
          <w:b/>
          <w:color w:val="0000FF"/>
          <w:sz w:val="22"/>
          <w:szCs w:val="22"/>
        </w:rPr>
        <w:t xml:space="preserve">[indicar día, mes y año] </w:t>
      </w:r>
      <w:r w:rsidRPr="004D177F">
        <w:rPr>
          <w:bCs/>
          <w:color w:val="0000FF"/>
          <w:sz w:val="22"/>
          <w:szCs w:val="22"/>
        </w:rPr>
        <w:t xml:space="preserve">y adjudicó </w:t>
      </w:r>
      <w:r w:rsidRPr="004D177F">
        <w:rPr>
          <w:color w:val="0000FF"/>
          <w:sz w:val="22"/>
          <w:szCs w:val="22"/>
          <w:lang w:val="es-ES"/>
        </w:rPr>
        <w:t xml:space="preserve">a </w:t>
      </w:r>
      <w:r w:rsidR="00C2117A" w:rsidRPr="004D177F">
        <w:rPr>
          <w:b/>
          <w:bCs/>
          <w:color w:val="0000FF"/>
          <w:sz w:val="22"/>
          <w:szCs w:val="22"/>
          <w:lang w:val="es-ES"/>
        </w:rPr>
        <w:t>EL PROVEEDOR</w:t>
      </w:r>
      <w:r w:rsidR="00C2117A" w:rsidRPr="004D177F">
        <w:rPr>
          <w:color w:val="0000FF"/>
          <w:sz w:val="22"/>
          <w:szCs w:val="22"/>
          <w:lang w:val="es-ES"/>
        </w:rPr>
        <w:t xml:space="preserve"> </w:t>
      </w:r>
      <w:r w:rsidRPr="008F2F47">
        <w:rPr>
          <w:color w:val="0000FF"/>
          <w:sz w:val="22"/>
          <w:szCs w:val="22"/>
          <w:lang w:val="es-ES"/>
        </w:rPr>
        <w:t xml:space="preserve">la </w:t>
      </w:r>
      <w:r w:rsidR="00563602" w:rsidRPr="008F2F47">
        <w:rPr>
          <w:color w:val="0000FF"/>
          <w:sz w:val="22"/>
          <w:szCs w:val="22"/>
          <w:lang w:val="es-ES"/>
        </w:rPr>
        <w:t>adquisición del</w:t>
      </w:r>
      <w:r w:rsidR="00692F19" w:rsidRPr="008F2F47">
        <w:rPr>
          <w:color w:val="0000FF"/>
          <w:sz w:val="22"/>
          <w:szCs w:val="22"/>
          <w:lang w:val="es-ES"/>
        </w:rPr>
        <w:t xml:space="preserve"> </w:t>
      </w:r>
      <w:r w:rsidRPr="008F2F47">
        <w:rPr>
          <w:b/>
          <w:color w:val="0000FF"/>
          <w:sz w:val="22"/>
          <w:szCs w:val="22"/>
          <w:lang w:val="es-ES"/>
        </w:rPr>
        <w:t xml:space="preserve">[describir </w:t>
      </w:r>
      <w:r w:rsidR="00692F19" w:rsidRPr="008F2F47">
        <w:rPr>
          <w:b/>
          <w:color w:val="0000FF"/>
          <w:sz w:val="22"/>
          <w:szCs w:val="22"/>
          <w:lang w:val="es-ES"/>
        </w:rPr>
        <w:t xml:space="preserve">el </w:t>
      </w:r>
      <w:r w:rsidR="00563602" w:rsidRPr="008F2F47">
        <w:rPr>
          <w:b/>
          <w:color w:val="0000FF"/>
          <w:sz w:val="22"/>
          <w:szCs w:val="22"/>
          <w:lang w:val="es-ES"/>
        </w:rPr>
        <w:t>bien</w:t>
      </w:r>
      <w:r w:rsidRPr="008F2F47">
        <w:rPr>
          <w:b/>
          <w:color w:val="0000FF"/>
          <w:sz w:val="22"/>
          <w:szCs w:val="22"/>
          <w:lang w:val="es-ES"/>
        </w:rPr>
        <w:t>].</w:t>
      </w:r>
    </w:p>
    <w:p w14:paraId="0B908803" w14:textId="77777777" w:rsidR="00465CCF" w:rsidRPr="004D177F" w:rsidRDefault="00465CCF" w:rsidP="004D177F">
      <w:pPr>
        <w:jc w:val="both"/>
        <w:rPr>
          <w:color w:val="0000FF"/>
          <w:sz w:val="22"/>
          <w:szCs w:val="22"/>
          <w:lang w:val="es-ES"/>
        </w:rPr>
      </w:pPr>
    </w:p>
    <w:p w14:paraId="42BE995B"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(11):</w:t>
      </w:r>
      <w:r w:rsidRPr="004D177F">
        <w:rPr>
          <w:color w:val="0000FF"/>
          <w:sz w:val="22"/>
          <w:szCs w:val="22"/>
          <w:lang w:val="es-ES"/>
        </w:rPr>
        <w:t xml:space="preserve"> A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w:t>
      </w:r>
      <w:r w:rsidRPr="004D177F">
        <w:rPr>
          <w:b/>
          <w:color w:val="0000FF"/>
          <w:sz w:val="22"/>
          <w:szCs w:val="22"/>
        </w:rPr>
        <w:t>LA INSTITUCIÓN CONTRATANTE</w:t>
      </w:r>
      <w:r w:rsidRPr="004D177F">
        <w:rPr>
          <w:color w:val="0000FF"/>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41E3BE3D" w:rsidR="00465CCF" w:rsidRPr="004D177F" w:rsidRDefault="00465CCF" w:rsidP="004D177F">
      <w:pPr>
        <w:jc w:val="both"/>
        <w:rPr>
          <w:color w:val="0000FF"/>
          <w:sz w:val="22"/>
          <w:szCs w:val="22"/>
        </w:rPr>
      </w:pPr>
      <w:r w:rsidRPr="004D177F">
        <w:rPr>
          <w:b/>
          <w:color w:val="0000FF"/>
          <w:sz w:val="22"/>
          <w:szCs w:val="22"/>
          <w:lang w:val="es-ES"/>
        </w:rPr>
        <w:t xml:space="preserve">POR CUANTO (12): </w:t>
      </w:r>
      <w:r w:rsidRPr="004D177F">
        <w:rPr>
          <w:bCs/>
          <w:color w:val="0000FF"/>
          <w:sz w:val="22"/>
          <w:szCs w:val="22"/>
          <w:lang w:val="es-ES"/>
        </w:rPr>
        <w:t xml:space="preserve">Que en fecha </w:t>
      </w:r>
      <w:r w:rsidRPr="004D177F">
        <w:rPr>
          <w:b/>
          <w:color w:val="0000FF"/>
          <w:sz w:val="22"/>
          <w:szCs w:val="22"/>
        </w:rPr>
        <w:t>[indicar día, mes y año]</w:t>
      </w:r>
      <w:r w:rsidRPr="004D177F">
        <w:rPr>
          <w:bCs/>
          <w:color w:val="0000FF"/>
          <w:sz w:val="22"/>
          <w:szCs w:val="22"/>
        </w:rPr>
        <w:t xml:space="preserve"> </w:t>
      </w:r>
      <w:r w:rsidR="00C2117A" w:rsidRPr="004D177F">
        <w:rPr>
          <w:b/>
          <w:bCs/>
          <w:color w:val="0000FF"/>
          <w:sz w:val="22"/>
          <w:szCs w:val="22"/>
          <w:lang w:val="es-ES"/>
        </w:rPr>
        <w:t>EL PROVEEDOR</w:t>
      </w:r>
      <w:r w:rsidR="00C2117A" w:rsidRPr="004D177F">
        <w:rPr>
          <w:color w:val="0000FF"/>
          <w:sz w:val="22"/>
          <w:szCs w:val="22"/>
          <w:lang w:val="es-ES"/>
        </w:rPr>
        <w:t xml:space="preserve"> </w:t>
      </w:r>
      <w:r w:rsidRPr="004D177F">
        <w:rPr>
          <w:color w:val="0000FF"/>
          <w:sz w:val="22"/>
          <w:szCs w:val="22"/>
          <w:lang w:val="es-ES"/>
        </w:rPr>
        <w:t>constituyó la Garantía de Fiel Cumplimiento de Contrato, correspondiente [</w:t>
      </w:r>
      <w:r w:rsidRPr="004D177F">
        <w:rPr>
          <w:b/>
          <w:color w:val="0000FF"/>
          <w:sz w:val="22"/>
          <w:szCs w:val="22"/>
        </w:rPr>
        <w:t>indicar porcentaje (%) 4% o el 1% si se trata de una MIPYMES]</w:t>
      </w:r>
      <w:r w:rsidRPr="004D177F">
        <w:rPr>
          <w:color w:val="0000FF"/>
          <w:sz w:val="22"/>
          <w:szCs w:val="22"/>
          <w:lang w:val="es-ES"/>
        </w:rPr>
        <w:t xml:space="preserve"> del monto total adjudicado, en cumplimiento del pliego de condiciones y del artículo 201 del Reglamento de </w:t>
      </w:r>
      <w:r w:rsidR="00C2117A" w:rsidRPr="004D177F">
        <w:rPr>
          <w:color w:val="0000FF"/>
          <w:sz w:val="22"/>
          <w:szCs w:val="22"/>
          <w:lang w:val="es-ES"/>
        </w:rPr>
        <w:t xml:space="preserve">aplicación </w:t>
      </w:r>
      <w:r w:rsidRPr="004D177F">
        <w:rPr>
          <w:color w:val="0000FF"/>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3"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3"/>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4" w:name="_Hlk161303053"/>
      <w:r w:rsidR="00886203" w:rsidRPr="008F2F47">
        <w:rPr>
          <w:b/>
          <w:color w:val="800000"/>
          <w:sz w:val="22"/>
          <w:szCs w:val="22"/>
        </w:rPr>
        <w:t xml:space="preserve">de acuerdo a lo estipulado en el pliego de condiciones </w:t>
      </w:r>
      <w:bookmarkEnd w:id="4"/>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de acuerdo a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Prrafodelista"/>
        <w:numPr>
          <w:ilvl w:val="0"/>
          <w:numId w:val="4"/>
        </w:numPr>
        <w:ind w:left="0" w:firstLine="0"/>
        <w:contextualSpacing w:val="0"/>
        <w:jc w:val="both"/>
        <w:rPr>
          <w:b/>
          <w:bCs/>
          <w:sz w:val="22"/>
          <w:szCs w:val="22"/>
        </w:rPr>
      </w:pPr>
      <w:r w:rsidRPr="004D177F">
        <w:rPr>
          <w:b/>
          <w:bCs/>
          <w:sz w:val="22"/>
          <w:szCs w:val="22"/>
        </w:rPr>
        <w:lastRenderedPageBreak/>
        <w:t>LA INSTITUCIÓN CONTRATANTE</w:t>
      </w:r>
      <w:r w:rsidRPr="004D177F">
        <w:rPr>
          <w:sz w:val="22"/>
          <w:szCs w:val="22"/>
        </w:rPr>
        <w:t xml:space="preserve"> procederá a realizar un primer pago correspondiente al Anticipo</w:t>
      </w:r>
      <w:r w:rsidRPr="004D177F">
        <w:rPr>
          <w:rStyle w:val="Refdenotaalpi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1CD9C452" w14:textId="77777777" w:rsidR="00465CCF" w:rsidRPr="004D177F" w:rsidRDefault="00465CCF" w:rsidP="004D177F">
      <w:pPr>
        <w:jc w:val="both"/>
        <w:rPr>
          <w:b/>
          <w:bCs/>
          <w:sz w:val="22"/>
          <w:szCs w:val="22"/>
        </w:rPr>
      </w:pPr>
      <w:r w:rsidRPr="004D177F">
        <w:rPr>
          <w:b/>
          <w:color w:val="800000"/>
          <w:sz w:val="22"/>
          <w:szCs w:val="22"/>
        </w:rPr>
        <w:t>[Indicar si existe otra forma o condición de pago, la cual deberá ser consistente a lo establecido en el pliego de condiciones]</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lastRenderedPageBreak/>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5"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5"/>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6"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6"/>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lastRenderedPageBreak/>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7" w:name="_Hlk152536891"/>
      <w:r w:rsidRPr="004D177F">
        <w:rPr>
          <w:b/>
          <w:bCs/>
          <w:sz w:val="22"/>
          <w:szCs w:val="22"/>
        </w:rPr>
        <w:lastRenderedPageBreak/>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7"/>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lastRenderedPageBreak/>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8"/>
      </w:r>
      <w:r w:rsidRPr="004D177F">
        <w:rPr>
          <w:sz w:val="22"/>
          <w:szCs w:val="22"/>
        </w:rPr>
        <w:t>, al proveedor para que subsane los defectos y proceda, en un plazo</w:t>
      </w:r>
      <w:r w:rsidRPr="004D177F">
        <w:rPr>
          <w:rStyle w:val="Refdenotaalpi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Coprocesamiento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681D98B8" w14:textId="27B6CE50" w:rsidR="00C11D26" w:rsidRPr="006B443B" w:rsidRDefault="00C11D26" w:rsidP="004D177F">
      <w:pPr>
        <w:pStyle w:val="Prrafodelista"/>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del mismo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no cumple con el requerimiento, </w:t>
      </w:r>
      <w:r w:rsidRPr="004D177F">
        <w:rPr>
          <w:b/>
          <w:bCs/>
          <w:color w:val="0000FF"/>
          <w:sz w:val="22"/>
          <w:szCs w:val="22"/>
        </w:rPr>
        <w:t xml:space="preserve">el </w:t>
      </w:r>
      <w:bookmarkStart w:id="8" w:name="_Hlk158633490"/>
      <w:r w:rsidRPr="004D177F">
        <w:rPr>
          <w:b/>
          <w:bCs/>
          <w:color w:val="0000FF"/>
          <w:sz w:val="22"/>
          <w:szCs w:val="22"/>
        </w:rPr>
        <w:t>[insertar nombre de institución contratante]</w:t>
      </w:r>
      <w:r w:rsidRPr="004D177F">
        <w:rPr>
          <w:color w:val="0000FF"/>
          <w:sz w:val="22"/>
          <w:szCs w:val="22"/>
        </w:rPr>
        <w:t xml:space="preserve"> </w:t>
      </w:r>
      <w:bookmarkEnd w:id="8"/>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w:t>
      </w:r>
      <w:r w:rsidRPr="004D177F">
        <w:rPr>
          <w:sz w:val="22"/>
          <w:szCs w:val="22"/>
        </w:rPr>
        <w:lastRenderedPageBreak/>
        <w:t>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5A095705" w14:textId="0AD7D688" w:rsidR="00375D06" w:rsidRPr="004D177F" w:rsidRDefault="00375D06" w:rsidP="004D177F">
      <w:pPr>
        <w:rPr>
          <w:b/>
          <w:color w:val="000000"/>
          <w:sz w:val="22"/>
          <w:szCs w:val="22"/>
          <w:lang w:val="es-ES"/>
        </w:rPr>
      </w:pPr>
      <w:bookmarkStart w:id="9" w:name="_GoBack"/>
      <w:bookmarkEnd w:id="9"/>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5AE21AE1" w:rsidR="009134A6" w:rsidRPr="004D177F" w:rsidRDefault="009134A6" w:rsidP="004D177F">
      <w:pPr>
        <w:rPr>
          <w:b/>
          <w:color w:val="000000"/>
          <w:sz w:val="22"/>
          <w:szCs w:val="22"/>
          <w:lang w:val="es-ES"/>
        </w:rPr>
      </w:pPr>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F4D30" w14:textId="77777777" w:rsidR="00686177" w:rsidRDefault="00686177" w:rsidP="00465CCF">
      <w:r>
        <w:separator/>
      </w:r>
    </w:p>
  </w:endnote>
  <w:endnote w:type="continuationSeparator" w:id="0">
    <w:p w14:paraId="5746429C" w14:textId="77777777" w:rsidR="00686177" w:rsidRDefault="0068617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D2A12DF"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701F26">
              <w:rPr>
                <w:b/>
                <w:bCs/>
                <w:noProof/>
                <w:sz w:val="20"/>
                <w:szCs w:val="20"/>
              </w:rPr>
              <w:t>15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701F26">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FCDAA" w14:textId="77777777" w:rsidR="00686177" w:rsidRDefault="00686177" w:rsidP="00465CCF">
      <w:r>
        <w:separator/>
      </w:r>
    </w:p>
  </w:footnote>
  <w:footnote w:type="continuationSeparator" w:id="0">
    <w:p w14:paraId="3FE195E1" w14:textId="77777777" w:rsidR="00686177" w:rsidRDefault="00686177"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60A9C"/>
    <w:rsid w:val="00563602"/>
    <w:rsid w:val="005B5EE6"/>
    <w:rsid w:val="005E0CE8"/>
    <w:rsid w:val="005F42BF"/>
    <w:rsid w:val="006146ED"/>
    <w:rsid w:val="006452DE"/>
    <w:rsid w:val="006803DB"/>
    <w:rsid w:val="00686177"/>
    <w:rsid w:val="00692F19"/>
    <w:rsid w:val="006A4442"/>
    <w:rsid w:val="006B443B"/>
    <w:rsid w:val="006B4ABE"/>
    <w:rsid w:val="00701F26"/>
    <w:rsid w:val="0070240D"/>
    <w:rsid w:val="00703717"/>
    <w:rsid w:val="0073644B"/>
    <w:rsid w:val="00743F3F"/>
    <w:rsid w:val="00754753"/>
    <w:rsid w:val="00756A8E"/>
    <w:rsid w:val="00763BFB"/>
    <w:rsid w:val="007754E2"/>
    <w:rsid w:val="007757CA"/>
    <w:rsid w:val="00782C5B"/>
    <w:rsid w:val="007832CD"/>
    <w:rsid w:val="00784B5D"/>
    <w:rsid w:val="007C4990"/>
    <w:rsid w:val="007D6425"/>
    <w:rsid w:val="007E65DC"/>
    <w:rsid w:val="007F0767"/>
    <w:rsid w:val="007F66E0"/>
    <w:rsid w:val="00810041"/>
    <w:rsid w:val="00813C41"/>
    <w:rsid w:val="00814065"/>
    <w:rsid w:val="00815300"/>
    <w:rsid w:val="008206A3"/>
    <w:rsid w:val="00825299"/>
    <w:rsid w:val="00846522"/>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62D8"/>
    <w:rsid w:val="00A63E06"/>
    <w:rsid w:val="00AD3F97"/>
    <w:rsid w:val="00AE6C8E"/>
    <w:rsid w:val="00AE7C55"/>
    <w:rsid w:val="00AF4686"/>
    <w:rsid w:val="00AF5206"/>
    <w:rsid w:val="00B110C8"/>
    <w:rsid w:val="00B126D2"/>
    <w:rsid w:val="00B161F6"/>
    <w:rsid w:val="00B164CB"/>
    <w:rsid w:val="00B16700"/>
    <w:rsid w:val="00B376AC"/>
    <w:rsid w:val="00B46AB2"/>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62B3"/>
    <w:rsid w:val="00E66BDC"/>
    <w:rsid w:val="00E90164"/>
    <w:rsid w:val="00EA3C49"/>
    <w:rsid w:val="00EB5407"/>
    <w:rsid w:val="00EC08DF"/>
    <w:rsid w:val="00EE0139"/>
    <w:rsid w:val="00F27E6E"/>
    <w:rsid w:val="00F34A28"/>
    <w:rsid w:val="00F35617"/>
    <w:rsid w:val="00F369A3"/>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6EFD3-9CDB-48BA-87FF-E9D322CB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7334</Words>
  <Characters>40338</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3</cp:revision>
  <cp:lastPrinted>2024-03-19T13:17:00Z</cp:lastPrinted>
  <dcterms:created xsi:type="dcterms:W3CDTF">2024-04-17T17:50:00Z</dcterms:created>
  <dcterms:modified xsi:type="dcterms:W3CDTF">2025-05-01T16:25:00Z</dcterms:modified>
</cp:coreProperties>
</file>