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48665EB" w14:textId="39C55BC8" w:rsidR="00214D11" w:rsidRPr="00214D11" w:rsidRDefault="00214D11" w:rsidP="00214D11">
      <w:pPr>
        <w:jc w:val="center"/>
        <w:rPr>
          <w:b/>
        </w:rPr>
      </w:pPr>
      <w:r w:rsidRPr="00214D11">
        <w:t>PARA</w:t>
      </w:r>
      <w:r w:rsidRPr="00214D11">
        <w:rPr>
          <w:b/>
        </w:rPr>
        <w:t xml:space="preserve"> </w:t>
      </w:r>
      <w:r w:rsidR="00B74AED" w:rsidRPr="00B74AED">
        <w:rPr>
          <w:b/>
          <w:color w:val="000000"/>
          <w:shd w:val="clear" w:color="auto" w:fill="FFFFFF"/>
        </w:rPr>
        <w:t>AMPLIACIÓN ACUEDUCTO DE LA LÍNEA NOROESTE (ALINO), SECTORES LOS MOLINOS, LOS CAPELLÁN Y EL CAYITO. DISTRITO MUNICIPAL HATILLO PALMA, MUNICIPIO GUAYUBIN, PROVINCIA MONTECRISTI, ZONA I, SNIP 17079</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16E379FB"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1E5D6E">
        <w:rPr>
          <w:b/>
          <w:color w:val="993300"/>
        </w:rPr>
        <w:t>CP-2026-0010</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07BAFA4B"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12E60">
        <w:t>47</w:t>
      </w:r>
      <w:r w:rsidR="006B5416" w:rsidRPr="009D70C7">
        <w:rPr>
          <w:snapToGrid w:val="0"/>
          <w:lang w:val="es-ES_tradnl"/>
        </w:rPr>
        <w:t>-</w:t>
      </w:r>
      <w:r w:rsidR="00612E60">
        <w:rPr>
          <w:snapToGrid w:val="0"/>
          <w:lang w:val="es-ES_tradnl"/>
        </w:rPr>
        <w:t>25</w:t>
      </w:r>
      <w:r w:rsidR="006B5416" w:rsidRPr="009D70C7">
        <w:rPr>
          <w:snapToGrid w:val="0"/>
          <w:lang w:val="es-ES_tradnl"/>
        </w:rPr>
        <w:t xml:space="preserve"> sobre Compras y Contrataciones de Bienes, Servicios y Obras</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12E60">
        <w:t>52</w:t>
      </w:r>
      <w:r w:rsidR="006C259E" w:rsidRPr="009D70C7">
        <w:t>-2</w:t>
      </w:r>
      <w:r w:rsidR="00612E60">
        <w:t>6</w:t>
      </w:r>
      <w:r w:rsidR="00B00A90" w:rsidRPr="009D70C7">
        <w:t xml:space="preserve"> del </w:t>
      </w:r>
      <w:r w:rsidR="00612E60">
        <w:t>28</w:t>
      </w:r>
      <w:r w:rsidR="00B00A90" w:rsidRPr="009D70C7">
        <w:t xml:space="preserve"> de </w:t>
      </w:r>
      <w:r w:rsidR="00612E60">
        <w:t>enero</w:t>
      </w:r>
      <w:r w:rsidR="00B00A90" w:rsidRPr="009D70C7">
        <w:t xml:space="preserve"> de 202</w:t>
      </w:r>
      <w:r w:rsidR="00612E60">
        <w:t>6</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403A0658"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w:t>
      </w:r>
      <w:r w:rsidR="00F241D1">
        <w:t>135</w:t>
      </w:r>
      <w:r w:rsidRPr="009D70C7">
        <w:t xml:space="preserve"> de la Ley </w:t>
      </w:r>
      <w:r w:rsidR="00B91586" w:rsidRPr="009D70C7">
        <w:t>núm</w:t>
      </w:r>
      <w:r w:rsidR="005B0599" w:rsidRPr="009D70C7">
        <w:t>.</w:t>
      </w:r>
      <w:r w:rsidRPr="009D70C7">
        <w:t xml:space="preserve"> </w:t>
      </w:r>
      <w:r w:rsidR="00FE7412">
        <w:t>47</w:t>
      </w:r>
      <w:r w:rsidRPr="009D70C7">
        <w:t>-</w:t>
      </w:r>
      <w:r w:rsidR="00FE7412">
        <w:t>25</w:t>
      </w:r>
      <w:r w:rsidRPr="009D70C7">
        <w:t xml:space="preserve">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6426C5ED"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w:t>
      </w:r>
      <w:r w:rsidR="00B00A90" w:rsidRPr="009D70C7">
        <w:t>artículo 1</w:t>
      </w:r>
      <w:r w:rsidR="00FE7412">
        <w:t>35</w:t>
      </w:r>
      <w:r w:rsidR="00B00A90" w:rsidRPr="009D70C7">
        <w:t xml:space="preserve"> del Reglamento de Aplicación contenido en el Decreto </w:t>
      </w:r>
      <w:r w:rsidR="00B91586" w:rsidRPr="009D70C7">
        <w:t>núm</w:t>
      </w:r>
      <w:r w:rsidR="00B00A90" w:rsidRPr="009D70C7">
        <w:t xml:space="preserve">. </w:t>
      </w:r>
      <w:r w:rsidR="00FE7412">
        <w:t>52</w:t>
      </w:r>
      <w:r w:rsidR="00B00A90" w:rsidRPr="009D70C7">
        <w:t>-2</w:t>
      </w:r>
      <w:r w:rsidR="00FE7412">
        <w:t>6</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6230F065"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Para</w:t>
      </w:r>
      <w:r w:rsidR="00C00E87" w:rsidRPr="00C00E87">
        <w:t xml:space="preserve"> </w:t>
      </w:r>
      <w:r w:rsidR="002166B8">
        <w:t>La</w:t>
      </w:r>
      <w:r w:rsidR="002166B8" w:rsidRPr="002166B8">
        <w:rPr>
          <w:b/>
          <w:color w:val="000000"/>
          <w:shd w:val="clear" w:color="auto" w:fill="FFFFFF"/>
        </w:rPr>
        <w:t xml:space="preserve"> </w:t>
      </w:r>
      <w:r w:rsidR="002166B8" w:rsidRPr="00B74AED">
        <w:rPr>
          <w:b/>
          <w:color w:val="000000"/>
          <w:shd w:val="clear" w:color="auto" w:fill="FFFFFF"/>
        </w:rPr>
        <w:t>AMPLIACIÓN ACUEDUCTO DE LA LÍNEA NOROESTE (ALINO), SECTORES LOS MOLINOS, LOS CAPELLÁN Y EL CAYITO. DISTRITO MUNICIPAL HATILLO PALMA, MUNICIPIO GUAYUBIN, PROVINCIA MONTECRISTI, ZONA I, SNIP 17079</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FBACF5C"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w:t>
      </w:r>
      <w:r w:rsidR="00F00420" w:rsidRPr="00665AEE">
        <w:rPr>
          <w:rFonts w:ascii="Arial Narrow" w:hAnsi="Arial Narrow"/>
          <w:b/>
          <w:color w:val="000000"/>
          <w:sz w:val="22"/>
          <w:szCs w:val="22"/>
        </w:rPr>
        <w:t xml:space="preserve">los sectores los </w:t>
      </w:r>
      <w:r w:rsidR="00F00420">
        <w:rPr>
          <w:rFonts w:ascii="Arial Narrow" w:hAnsi="Arial Narrow"/>
          <w:b/>
          <w:color w:val="000000"/>
          <w:sz w:val="22"/>
          <w:szCs w:val="22"/>
        </w:rPr>
        <w:t>M</w:t>
      </w:r>
      <w:r w:rsidR="00F00420" w:rsidRPr="00665AEE">
        <w:rPr>
          <w:rFonts w:ascii="Arial Narrow" w:hAnsi="Arial Narrow"/>
          <w:b/>
          <w:color w:val="000000"/>
          <w:sz w:val="22"/>
          <w:szCs w:val="22"/>
        </w:rPr>
        <w:t xml:space="preserve">olinos, </w:t>
      </w:r>
      <w:r w:rsidR="00F00420">
        <w:rPr>
          <w:rFonts w:ascii="Arial Narrow" w:hAnsi="Arial Narrow"/>
          <w:b/>
          <w:color w:val="000000"/>
          <w:sz w:val="22"/>
          <w:szCs w:val="22"/>
        </w:rPr>
        <w:t>los C</w:t>
      </w:r>
      <w:r w:rsidR="00F00420" w:rsidRPr="00665AEE">
        <w:rPr>
          <w:rFonts w:ascii="Arial Narrow" w:hAnsi="Arial Narrow"/>
          <w:b/>
          <w:color w:val="000000"/>
          <w:sz w:val="22"/>
          <w:szCs w:val="22"/>
        </w:rPr>
        <w:t>apellanes</w:t>
      </w:r>
      <w:r w:rsidR="00F00420">
        <w:rPr>
          <w:rFonts w:ascii="Arial Narrow" w:hAnsi="Arial Narrow"/>
          <w:b/>
          <w:color w:val="000000"/>
          <w:sz w:val="22"/>
          <w:szCs w:val="22"/>
        </w:rPr>
        <w:t xml:space="preserve"> y el C</w:t>
      </w:r>
      <w:r w:rsidR="00F00420" w:rsidRPr="00665AEE">
        <w:rPr>
          <w:rFonts w:ascii="Arial Narrow" w:hAnsi="Arial Narrow"/>
          <w:b/>
          <w:color w:val="000000"/>
          <w:sz w:val="22"/>
          <w:szCs w:val="22"/>
        </w:rPr>
        <w:t>ayito. Dis</w:t>
      </w:r>
      <w:r w:rsidR="00F00420">
        <w:rPr>
          <w:rFonts w:ascii="Arial Narrow" w:hAnsi="Arial Narrow"/>
          <w:b/>
          <w:color w:val="000000"/>
          <w:sz w:val="22"/>
          <w:szCs w:val="22"/>
        </w:rPr>
        <w:t>trito Municipal Hatillo Palma, m</w:t>
      </w:r>
      <w:r w:rsidR="00F00420" w:rsidRPr="00665AEE">
        <w:rPr>
          <w:rFonts w:ascii="Arial Narrow" w:hAnsi="Arial Narrow"/>
          <w:b/>
          <w:color w:val="000000"/>
          <w:sz w:val="22"/>
          <w:szCs w:val="22"/>
        </w:rPr>
        <w:t xml:space="preserve">unicipio </w:t>
      </w:r>
      <w:proofErr w:type="spellStart"/>
      <w:r w:rsidR="00F00420" w:rsidRPr="00665AEE">
        <w:rPr>
          <w:rFonts w:ascii="Arial Narrow" w:hAnsi="Arial Narrow"/>
          <w:b/>
          <w:color w:val="000000"/>
          <w:sz w:val="22"/>
          <w:szCs w:val="22"/>
        </w:rPr>
        <w:t>Guayubin</w:t>
      </w:r>
      <w:proofErr w:type="spellEnd"/>
      <w:r w:rsidR="00F00420" w:rsidRPr="00665AEE">
        <w:rPr>
          <w:rFonts w:ascii="Arial Narrow" w:hAnsi="Arial Narrow"/>
          <w:b/>
          <w:color w:val="000000"/>
          <w:sz w:val="22"/>
          <w:szCs w:val="22"/>
        </w:rPr>
        <w:t>, provincia Montecristi</w:t>
      </w:r>
      <w:r w:rsidR="00F00420">
        <w:rPr>
          <w:rFonts w:ascii="Arial Narrow" w:hAnsi="Arial Narrow"/>
          <w:b/>
          <w:color w:val="000000"/>
          <w:sz w:val="22"/>
          <w:szCs w:val="22"/>
        </w:rPr>
        <w:t>.</w:t>
      </w:r>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13FF33B3"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w:t>
      </w:r>
      <w:r w:rsidR="00070A4D">
        <w:t>47</w:t>
      </w:r>
      <w:r w:rsidR="002C5EEB" w:rsidRPr="009D70C7">
        <w:t>-</w:t>
      </w:r>
      <w:r w:rsidR="00070A4D">
        <w:t>25</w:t>
      </w:r>
      <w:r w:rsidR="002C5EEB" w:rsidRPr="009D70C7">
        <w:t xml:space="preserve">, su Reglamento de aplicación núm. </w:t>
      </w:r>
      <w:r w:rsidR="00070A4D">
        <w:t>57</w:t>
      </w:r>
      <w:r w:rsidR="002C5EEB" w:rsidRPr="009D70C7">
        <w:t>-2</w:t>
      </w:r>
      <w:r w:rsidR="00070A4D">
        <w:t>6</w:t>
      </w:r>
      <w:r w:rsidR="002C5EEB" w:rsidRPr="009D70C7">
        <w:t xml:space="preserve">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lastRenderedPageBreak/>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w:t>
      </w:r>
      <w:r w:rsidR="00D95A13" w:rsidRPr="009D70C7">
        <w:lastRenderedPageBreak/>
        <w:t>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lastRenderedPageBreak/>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w:t>
      </w:r>
      <w:r w:rsidRPr="009D70C7">
        <w:rPr>
          <w:lang w:val="es-ES_tradnl"/>
        </w:rPr>
        <w:lastRenderedPageBreak/>
        <w:t>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6"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lastRenderedPageBreak/>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7" w:name="_Hlk152546949"/>
      <w:r w:rsidRPr="009D70C7">
        <w:rPr>
          <w:color w:val="000000"/>
        </w:rPr>
        <w:t>director responsable de obra</w:t>
      </w:r>
      <w:bookmarkEnd w:id="7"/>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w:t>
      </w:r>
      <w:r w:rsidRPr="009D70C7">
        <w:lastRenderedPageBreak/>
        <w:t>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w:t>
      </w:r>
      <w:r w:rsidR="001C1F54" w:rsidRPr="009D70C7">
        <w:lastRenderedPageBreak/>
        <w:t xml:space="preserve">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surja de un evento de Fuerza Mayor o Caso Fortuito y la parte afectada haya tomado todas las </w:t>
      </w:r>
      <w:r w:rsidRPr="009D70C7">
        <w:lastRenderedPageBreak/>
        <w:t>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w:t>
      </w:r>
      <w:r w:rsidR="00CF7BCF" w:rsidRPr="009D70C7">
        <w:rPr>
          <w:bCs/>
          <w:color w:val="000000" w:themeColor="text1"/>
        </w:rPr>
        <w:lastRenderedPageBreak/>
        <w:t xml:space="preserve">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lastRenderedPageBreak/>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lastRenderedPageBreak/>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8084D" w14:textId="77777777" w:rsidR="00DF6338" w:rsidRDefault="00DF6338" w:rsidP="00ED4BC0">
      <w:r>
        <w:separator/>
      </w:r>
    </w:p>
  </w:endnote>
  <w:endnote w:type="continuationSeparator" w:id="0">
    <w:p w14:paraId="01C9E96A" w14:textId="77777777" w:rsidR="00DF6338" w:rsidRDefault="00DF6338"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panose1 w:val="00000000000000000000"/>
    <w:charset w:val="00"/>
    <w:family w:val="roman"/>
    <w:notTrueType/>
    <w:pitch w:val="default"/>
  </w:font>
  <w:font w:name="Franklin Got Itc T OT Book">
    <w:altName w:val="Calibri"/>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E6F4ED"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070A4D">
              <w:rPr>
                <w:b/>
                <w:bCs/>
                <w:noProof/>
                <w:sz w:val="20"/>
                <w:szCs w:val="20"/>
              </w:rPr>
              <w:t>20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070A4D">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FF23" w14:textId="77777777" w:rsidR="00DF6338" w:rsidRDefault="00DF6338" w:rsidP="00ED4BC0">
      <w:r>
        <w:separator/>
      </w:r>
    </w:p>
  </w:footnote>
  <w:footnote w:type="continuationSeparator" w:id="0">
    <w:p w14:paraId="35BAA39F" w14:textId="77777777" w:rsidR="00DF6338" w:rsidRDefault="00DF6338"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bookmarkStart w:id="8" w:name="_GoBack"/>
      <w:bookmarkEnd w:id="8"/>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0A4D"/>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A81"/>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5D6E"/>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166B8"/>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2E60"/>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6F0"/>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171"/>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C7993"/>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4AED"/>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338"/>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420"/>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1D1"/>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E7412"/>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1593-CBFA-449E-A81F-A472E925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8401</Words>
  <Characters>47890</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Jorge Rolando Reyes Tejada</cp:lastModifiedBy>
  <cp:revision>32</cp:revision>
  <cp:lastPrinted>2023-12-29T18:24:00Z</cp:lastPrinted>
  <dcterms:created xsi:type="dcterms:W3CDTF">2024-04-25T16:47:00Z</dcterms:created>
  <dcterms:modified xsi:type="dcterms:W3CDTF">2026-04-28T17:13:00Z</dcterms:modified>
</cp:coreProperties>
</file>